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33"/>
        </w:numPr>
        <w:pBdr>
          <w:top w:space="0" w:sz="0" w:val="nil"/>
          <w:left w:space="0" w:sz="0" w:val="nil"/>
          <w:bottom w:space="0" w:sz="0" w:val="nil"/>
          <w:right w:space="0" w:sz="0" w:val="nil"/>
          <w:between w:space="0" w:sz="0" w:val="nil"/>
        </w:pBdr>
        <w:tabs>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3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3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33"/>
        </w:numPr>
        <w:pBdr>
          <w:top w:space="0" w:sz="0" w:val="nil"/>
          <w:left w:space="0" w:sz="0" w:val="nil"/>
          <w:bottom w:space="0" w:sz="0" w:val="nil"/>
          <w:right w:space="0" w:sz="0" w:val="nil"/>
          <w:between w:space="0" w:sz="0" w:val="nil"/>
        </w:pBdr>
        <w:tabs>
          <w:tab w:val="left" w:leader="none" w:pos="1418"/>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33"/>
        </w:numPr>
        <w:pBdr>
          <w:top w:space="0" w:sz="0" w:val="nil"/>
          <w:left w:space="0" w:sz="0" w:val="nil"/>
          <w:bottom w:space="0" w:sz="0" w:val="nil"/>
          <w:right w:space="0" w:sz="0" w:val="nil"/>
          <w:between w:space="0" w:sz="0" w:val="nil"/>
        </w:pBdr>
        <w:tabs>
          <w:tab w:val="left" w:leader="none" w:pos="2268"/>
        </w:tabs>
        <w:spacing w:after="120" w:before="120" w:line="240" w:lineRule="auto"/>
        <w:ind w:left="2268"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33"/>
        </w:numPr>
        <w:pBdr>
          <w:top w:space="0" w:sz="0" w:val="nil"/>
          <w:left w:space="0" w:sz="0" w:val="nil"/>
          <w:bottom w:space="0" w:sz="0" w:val="nil"/>
          <w:right w:space="0" w:sz="0" w:val="nil"/>
          <w:between w:space="0" w:sz="0" w:val="nil"/>
        </w:pBdr>
        <w:tabs>
          <w:tab w:val="left" w:leader="none" w:pos="2268"/>
        </w:tabs>
        <w:spacing w:after="120" w:before="120" w:line="240" w:lineRule="auto"/>
        <w:ind w:left="2268"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33"/>
        </w:numPr>
        <w:pBdr>
          <w:top w:space="0" w:sz="0" w:val="nil"/>
          <w:left w:space="0" w:sz="0" w:val="nil"/>
          <w:bottom w:space="0" w:sz="0" w:val="nil"/>
          <w:right w:space="0" w:sz="0" w:val="nil"/>
          <w:between w:space="0" w:sz="0" w:val="nil"/>
        </w:pBdr>
        <w:tabs>
          <w:tab w:val="left" w:leader="none" w:pos="1418"/>
          <w:tab w:val="left" w:leader="none" w:pos="1985"/>
          <w:tab w:val="left" w:leader="none"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33"/>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9781.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229"/>
        <w:tblGridChange w:id="0">
          <w:tblGrid>
            <w:gridCol w:w="2552"/>
            <w:gridCol w:w="7229"/>
          </w:tblGrid>
        </w:tblGridChange>
      </w:tblGrid>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bookmarkStart w:colFirst="0" w:colLast="0" w:name="_heading=h.3znysh7" w:id="3"/>
            <w:bookmarkEnd w:id="3"/>
            <w:r w:rsidDel="00000000" w:rsidR="00000000" w:rsidRPr="00000000">
              <w:rPr>
                <w:rFonts w:ascii="Arial" w:cs="Arial" w:eastAsia="Arial" w:hAnsi="Arial"/>
                <w:b w:val="1"/>
                <w:color w:val="000000"/>
                <w:sz w:val="22"/>
                <w:szCs w:val="22"/>
                <w:rtl w:val="0"/>
              </w:rPr>
              <w:t xml:space="preserve">“Achieve“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respect of a Test, to successfully pass such Test without any Test Issues and in respect of a Milestone, the issue by the Buyer of a written confirmation that the relevant Milestone has been passed in respect of that Milestone and “</w:t>
            </w:r>
            <w:r w:rsidDel="00000000" w:rsidR="00000000" w:rsidRPr="00000000">
              <w:rPr>
                <w:rFonts w:ascii="Arial" w:cs="Arial" w:eastAsia="Arial" w:hAnsi="Arial"/>
                <w:b w:val="1"/>
                <w:color w:val="000000"/>
                <w:sz w:val="22"/>
                <w:szCs w:val="22"/>
                <w:rtl w:val="0"/>
              </w:rPr>
              <w:t xml:space="preserve">Achieved</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b w:val="1"/>
                <w:color w:val="000000"/>
                <w:sz w:val="22"/>
                <w:szCs w:val="22"/>
                <w:rtl w:val="0"/>
              </w:rPr>
              <w:t xml:space="preserve">Achieving</w:t>
            </w:r>
            <w:r w:rsidDel="00000000" w:rsidR="00000000" w:rsidRPr="00000000">
              <w:rPr>
                <w:rFonts w:ascii="Arial" w:cs="Arial" w:eastAsia="Arial" w:hAnsi="Arial"/>
                <w:color w:val="000000"/>
                <w:sz w:val="22"/>
                <w:szCs w:val="22"/>
                <w:rtl w:val="0"/>
              </w:rPr>
              <w:t xml:space="preserve">” and “</w:t>
            </w:r>
            <w:r w:rsidDel="00000000" w:rsidR="00000000" w:rsidRPr="00000000">
              <w:rPr>
                <w:rFonts w:ascii="Arial" w:cs="Arial" w:eastAsia="Arial" w:hAnsi="Arial"/>
                <w:b w:val="1"/>
                <w:color w:val="000000"/>
                <w:sz w:val="22"/>
                <w:szCs w:val="22"/>
                <w:rtl w:val="0"/>
              </w:rPr>
              <w:t xml:space="preserve">Achievement</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“Additional Insurances”</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insurance requirements relating to a Call-Off Contract specified in the Order Form additional to those outlined in Joint Schedule 3 (Insurance Requirements); </w:t>
            </w:r>
          </w:p>
        </w:tc>
      </w:tr>
      <w:tr>
        <w:trPr>
          <w:cantSplit w:val="0"/>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“Admin Fee”</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“Affected Party”</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Party seeking to claim relief in respect of a Force Majeure Event;</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“Affiliates”</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“Annex”</w:t>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extra information which supports a Schedule;</w:t>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“Approval”</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prior written consent of the Buyer and “</w:t>
            </w:r>
            <w:r w:rsidDel="00000000" w:rsidR="00000000" w:rsidRPr="00000000">
              <w:rPr>
                <w:rFonts w:ascii="Arial" w:cs="Arial" w:eastAsia="Arial" w:hAnsi="Arial"/>
                <w:b w:val="1"/>
                <w:color w:val="000000"/>
                <w:sz w:val="22"/>
                <w:szCs w:val="22"/>
                <w:rtl w:val="0"/>
              </w:rPr>
              <w:t xml:space="preserve">Approve</w:t>
            </w:r>
            <w:r w:rsidDel="00000000" w:rsidR="00000000" w:rsidRPr="00000000">
              <w:rPr>
                <w:rFonts w:ascii="Arial" w:cs="Arial" w:eastAsia="Arial" w:hAnsi="Arial"/>
                <w:color w:val="000000"/>
                <w:sz w:val="22"/>
                <w:szCs w:val="22"/>
                <w:rtl w:val="0"/>
              </w:rPr>
              <w:t xml:space="preserve">” and “</w:t>
            </w:r>
            <w:r w:rsidDel="00000000" w:rsidR="00000000" w:rsidRPr="00000000">
              <w:rPr>
                <w:rFonts w:ascii="Arial" w:cs="Arial" w:eastAsia="Arial" w:hAnsi="Arial"/>
                <w:b w:val="1"/>
                <w:color w:val="000000"/>
                <w:sz w:val="22"/>
                <w:szCs w:val="22"/>
                <w:rtl w:val="0"/>
              </w:rPr>
              <w:t xml:space="preserve">Approved</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“Audit”</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verify the accuracy and completeness of any Management Information delivered or required by the Framework Contract;</w:t>
            </w:r>
          </w:p>
        </w:tc>
      </w:tr>
      <w:tr>
        <w:trPr>
          <w:cantSplit w:val="0"/>
          <w:tblHeader w:val="0"/>
        </w:trPr>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“Auditor”</w:t>
            </w:r>
          </w:p>
        </w:tc>
        <w:tc>
          <w:tcPr>
            <w:shd w:fill="auto" w:val="clear"/>
          </w:tcPr>
          <w:p w:rsidR="00000000" w:rsidDel="00000000" w:rsidP="00000000" w:rsidRDefault="00000000" w:rsidRPr="00000000" w14:paraId="0000003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tabs>
                <w:tab w:val="left" w:leader="none" w:pos="-2316"/>
                <w:tab w:val="left" w:leader="none" w:pos="-2100"/>
                <w:tab w:val="left" w:leader="none" w:pos="711"/>
              </w:tabs>
              <w:spacing w:after="60" w:before="60" w:line="240" w:lineRule="auto"/>
              <w:ind w:left="711" w:right="276" w:hanging="541"/>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Authority’s internal and external auditors;</w:t>
            </w:r>
          </w:p>
          <w:p w:rsidR="00000000" w:rsidDel="00000000" w:rsidP="00000000" w:rsidRDefault="00000000" w:rsidRPr="00000000" w14:paraId="00000036">
            <w:pPr>
              <w:numPr>
                <w:ilvl w:val="0"/>
                <w:numId w:val="20"/>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Relevant Authority’s statutory or regulatory auditors;</w:t>
            </w:r>
          </w:p>
          <w:p w:rsidR="00000000" w:rsidDel="00000000" w:rsidP="00000000" w:rsidRDefault="00000000" w:rsidRPr="00000000" w14:paraId="00000037">
            <w:pPr>
              <w:numPr>
                <w:ilvl w:val="0"/>
                <w:numId w:val="20"/>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0"/>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HM Treasury or the Cabinet Office;</w:t>
            </w:r>
          </w:p>
          <w:p w:rsidR="00000000" w:rsidDel="00000000" w:rsidP="00000000" w:rsidRDefault="00000000" w:rsidRPr="00000000" w14:paraId="00000039">
            <w:pPr>
              <w:numPr>
                <w:ilvl w:val="0"/>
                <w:numId w:val="20"/>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0"/>
              </w:numPr>
              <w:pBdr>
                <w:top w:space="0" w:sz="0" w:val="nil"/>
                <w:left w:space="0" w:sz="0" w:val="nil"/>
                <w:bottom w:space="0" w:sz="0" w:val="nil"/>
                <w:right w:space="0" w:sz="0" w:val="nil"/>
                <w:between w:space="0" w:sz="0" w:val="nil"/>
              </w:pBdr>
              <w:tabs>
                <w:tab w:val="left" w:leader="none" w:pos="711"/>
              </w:tabs>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successors or assigns of any of the above;</w:t>
            </w:r>
          </w:p>
        </w:tc>
      </w:tr>
      <w:tr>
        <w:trPr>
          <w:cantSplit w:val="0"/>
          <w:trHeight w:val="601" w:hRule="atLeast"/>
          <w:tblHeader w:val="0"/>
        </w:trPr>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“Authority”</w:t>
            </w:r>
          </w:p>
        </w:tc>
        <w:tc>
          <w:tcPr>
            <w:shd w:fill="auto" w:val="clear"/>
          </w:tcPr>
          <w:p w:rsidR="00000000" w:rsidDel="00000000" w:rsidP="00000000" w:rsidRDefault="00000000" w:rsidRPr="00000000" w14:paraId="0000003C">
            <w:pP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CCS </w:t>
            </w:r>
            <w:r w:rsidDel="00000000" w:rsidR="00000000" w:rsidRPr="00000000">
              <w:rPr>
                <w:rFonts w:ascii="Arial" w:cs="Arial" w:eastAsia="Arial" w:hAnsi="Arial"/>
                <w:color w:val="000000"/>
                <w:sz w:val="22"/>
                <w:szCs w:val="22"/>
                <w:rtl w:val="0"/>
              </w:rPr>
              <w:t xml:space="preserve">and</w:t>
            </w:r>
            <w:r w:rsidDel="00000000" w:rsidR="00000000" w:rsidRPr="00000000">
              <w:rPr>
                <w:rFonts w:ascii="Arial" w:cs="Arial" w:eastAsia="Arial" w:hAnsi="Arial"/>
                <w:sz w:val="22"/>
                <w:szCs w:val="22"/>
                <w:rtl w:val="0"/>
              </w:rPr>
              <w:t xml:space="preserve"> each Buyer;</w:t>
            </w:r>
          </w:p>
        </w:tc>
      </w:tr>
      <w:tr>
        <w:trPr>
          <w:cantSplit w:val="0"/>
          <w:tblHeader w:val="0"/>
        </w:trPr>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“Authority Cause”</w:t>
            </w:r>
          </w:p>
        </w:tc>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Bankers’ Automated Clearing Services, which is a scheme for the electronic processing of financial transactions within the United Kingdom;</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“Beneficiary”</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Party having (or claiming to have) the benefit of an indemnity under this Contract;</w:t>
            </w:r>
          </w:p>
        </w:tc>
      </w:tr>
      <w:tr>
        <w:trPr>
          <w:cantSplit w:val="0"/>
          <w:tblHeader w:val="0"/>
        </w:trPr>
        <w:tc>
          <w:tcPr>
            <w:shd w:fill="auto" w:val="clear"/>
          </w:tcPr>
          <w:p w:rsidR="00000000" w:rsidDel="00000000" w:rsidP="00000000" w:rsidRDefault="00000000" w:rsidRPr="00000000" w14:paraId="00000043">
            <w:pPr>
              <w:spacing w:after="60" w:before="60" w:lineRule="auto"/>
              <w:ind w:left="142" w:right="278" w:firstLine="0"/>
              <w:rPr>
                <w:rFonts w:ascii="Arial" w:cs="Arial" w:eastAsia="Arial" w:hAnsi="Arial"/>
                <w:b w:val="1"/>
                <w:color w:val="ff0000"/>
                <w:sz w:val="22"/>
                <w:szCs w:val="22"/>
              </w:rPr>
            </w:pPr>
            <w:r w:rsidDel="00000000" w:rsidR="00000000" w:rsidRPr="00000000">
              <w:rPr>
                <w:rFonts w:ascii="Arial" w:cs="Arial" w:eastAsia="Arial" w:hAnsi="Arial"/>
                <w:b w:val="1"/>
                <w:sz w:val="22"/>
                <w:szCs w:val="22"/>
                <w:rtl w:val="0"/>
              </w:rPr>
              <w:t xml:space="preserve">“Booker”</w:t>
            </w:r>
            <w:r w:rsidDel="00000000" w:rsidR="00000000" w:rsidRPr="00000000">
              <w:rPr>
                <w:rtl w:val="0"/>
              </w:rPr>
            </w:r>
          </w:p>
        </w:tc>
        <w:tc>
          <w:tcPr>
            <w:shd w:fill="auto" w:val="clear"/>
          </w:tcPr>
          <w:p w:rsidR="00000000" w:rsidDel="00000000" w:rsidP="00000000" w:rsidRDefault="00000000" w:rsidRPr="00000000" w14:paraId="00000044">
            <w:pPr>
              <w:spacing w:after="60" w:before="60" w:lineRule="auto"/>
              <w:ind w:left="140" w:right="144" w:firstLine="0"/>
              <w:jc w:val="both"/>
              <w:rPr>
                <w:rFonts w:ascii="Arial" w:cs="Arial" w:eastAsia="Arial" w:hAnsi="Arial"/>
                <w:color w:val="ff0000"/>
                <w:sz w:val="22"/>
                <w:szCs w:val="22"/>
              </w:rPr>
            </w:pPr>
            <w:r w:rsidDel="00000000" w:rsidR="00000000" w:rsidRPr="00000000">
              <w:rPr>
                <w:rFonts w:ascii="Arial" w:cs="Arial" w:eastAsia="Arial" w:hAnsi="Arial"/>
                <w:color w:val="000000"/>
                <w:sz w:val="22"/>
                <w:szCs w:val="22"/>
                <w:rtl w:val="0"/>
              </w:rPr>
              <w:t xml:space="preserve">an employee, agent or representative of the Buyer who wishes to make a booking via online or offline methods;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5">
            <w:pP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“Booking”</w:t>
            </w:r>
          </w:p>
        </w:tc>
        <w:tc>
          <w:tcPr>
            <w:shd w:fill="auto" w:val="clear"/>
          </w:tcPr>
          <w:p w:rsidR="00000000" w:rsidDel="00000000" w:rsidP="00000000" w:rsidRDefault="00000000" w:rsidRPr="00000000" w14:paraId="00000046">
            <w:pP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under Lot 1 Part B and Lot 4, the sourcing and contracting of a venue and/or service;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“Buyer”</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relevant public sector purchaser identified as such in the Order Form;</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“Buyer Assets”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“Buyer Authorised Representative”</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representative appointed by the Buyer from time to time in relation to the Call-Off Contract initially identified in the Order Form;</w:t>
            </w:r>
          </w:p>
        </w:tc>
      </w:tr>
      <w:tr>
        <w:trPr>
          <w:cantSplit w:val="0"/>
          <w:tblHeader w:val="0"/>
        </w:trPr>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“Buyer Premises”</w:t>
            </w:r>
          </w:p>
        </w:tc>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shd w:fill="auto" w:val="clear"/>
          </w:tcPr>
          <w:p w:rsidR="00000000" w:rsidDel="00000000" w:rsidP="00000000" w:rsidRDefault="00000000" w:rsidRPr="00000000" w14:paraId="0000004F">
            <w:pP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“Buyer Property” </w:t>
            </w:r>
          </w:p>
        </w:tc>
        <w:tc>
          <w:tcPr>
            <w:shd w:fill="auto" w:val="clear"/>
          </w:tcPr>
          <w:p w:rsidR="00000000" w:rsidDel="00000000" w:rsidP="00000000" w:rsidRDefault="00000000" w:rsidRPr="00000000" w14:paraId="00000050">
            <w:pP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shd w:fill="auto" w:val="clear"/>
          </w:tcPr>
          <w:p w:rsidR="00000000" w:rsidDel="00000000" w:rsidP="00000000" w:rsidRDefault="00000000" w:rsidRPr="00000000" w14:paraId="00000051">
            <w:pP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“Buyer System”</w:t>
            </w:r>
          </w:p>
        </w:tc>
        <w:tc>
          <w:tcPr>
            <w:shd w:fill="auto" w:val="clear"/>
          </w:tcPr>
          <w:p w:rsidR="00000000" w:rsidDel="00000000" w:rsidP="00000000" w:rsidRDefault="00000000" w:rsidRPr="00000000" w14:paraId="00000052">
            <w:pP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shd w:fill="auto" w:val="clea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Contract”</w:t>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Buyer and the Supplier (entered into pursuant to the provisions of the Framework Contract), which consists of the terms set out and/or referred to in the Order Form;</w:t>
            </w:r>
          </w:p>
        </w:tc>
      </w:tr>
      <w:tr>
        <w:trPr>
          <w:cantSplit w:val="0"/>
          <w:tblHeader w:val="0"/>
        </w:trPr>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Contract Period”</w:t>
            </w:r>
          </w:p>
        </w:tc>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Period in respect of the Call-Off Contract;</w:t>
            </w:r>
          </w:p>
        </w:tc>
      </w:tr>
      <w:tr>
        <w:trPr>
          <w:cantSplit w:val="0"/>
          <w:tblHeader w:val="0"/>
        </w:trPr>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Expiry Date”</w:t>
            </w:r>
          </w:p>
        </w:tc>
        <w:tc>
          <w:tcPr>
            <w:shd w:fill="auto"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scheduled date of the end of a Call-Off Contract as stated in the Order Form;</w:t>
            </w:r>
          </w:p>
        </w:tc>
      </w:tr>
      <w:tr>
        <w:trPr>
          <w:cantSplit w:val="0"/>
          <w:tblHeader w:val="0"/>
        </w:trPr>
        <w:tc>
          <w:tcPr>
            <w:shd w:fill="auto"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Incorporated Terms”</w:t>
            </w:r>
          </w:p>
        </w:tc>
        <w:tc>
          <w:tcPr>
            <w:shd w:fill="auto"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contractual terms applicable to the Call-Off Contract specified under the relevant heading in the Order Form;</w:t>
            </w:r>
          </w:p>
        </w:tc>
      </w:tr>
      <w:tr>
        <w:trPr>
          <w:cantSplit w:val="0"/>
          <w:tblHeader w:val="0"/>
        </w:trPr>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Initial Period”</w:t>
            </w:r>
          </w:p>
        </w:tc>
        <w:tc>
          <w:tcPr>
            <w:shd w:fill="auto"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Initial Period of a Call-Off Contract specified in the Order Form;</w:t>
            </w:r>
          </w:p>
        </w:tc>
      </w:tr>
      <w:tr>
        <w:trPr>
          <w:cantSplit w:val="0"/>
          <w:tblHeader w:val="0"/>
        </w:trPr>
        <w:tc>
          <w:tcPr>
            <w:shd w:fill="auto"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Optional Extension Period”</w:t>
            </w:r>
          </w:p>
        </w:tc>
        <w:tc>
          <w:tcPr>
            <w:shd w:fill="auto"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such period or periods beyond which the Call-Off Initial Period may be extended as specified in the Order Form;</w:t>
            </w:r>
          </w:p>
        </w:tc>
      </w:tr>
      <w:tr>
        <w:trPr>
          <w:cantSplit w:val="0"/>
          <w:tblHeader w:val="0"/>
        </w:trPr>
        <w:tc>
          <w:tcPr>
            <w:shd w:fill="auto" w:val="cle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Procedure“</w:t>
            </w:r>
          </w:p>
        </w:tc>
        <w:tc>
          <w:tcPr>
            <w:shd w:fill="auto" w:val="clea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process for awarding a Call-Off Contract pursuant to Clause 2 (How the contract works) and Framework Schedule 7 (Call-Off Award Procedure);</w:t>
            </w:r>
          </w:p>
        </w:tc>
      </w:tr>
      <w:tr>
        <w:trPr>
          <w:cantSplit w:val="0"/>
          <w:tblHeader w:val="0"/>
        </w:trPr>
        <w:tc>
          <w:tcPr>
            <w:shd w:fill="auto"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Special Terms”</w:t>
            </w:r>
          </w:p>
        </w:tc>
        <w:tc>
          <w:tcPr>
            <w:shd w:fill="auto"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additional terms and conditions specified in the Order Form incorporated into the applicable Call-Off Contract; </w:t>
            </w:r>
          </w:p>
        </w:tc>
      </w:tr>
      <w:tr>
        <w:trPr>
          <w:cantSplit w:val="0"/>
          <w:tblHeader w:val="0"/>
        </w:trPr>
        <w:tc>
          <w:tcPr>
            <w:shd w:fill="auto"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Start Date”</w:t>
            </w:r>
          </w:p>
        </w:tc>
        <w:tc>
          <w:tcPr>
            <w:shd w:fill="auto" w:val="clea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date of start of a Call-Off Contract as stated in the Order Form;</w:t>
            </w:r>
          </w:p>
        </w:tc>
      </w:tr>
      <w:tr>
        <w:trPr>
          <w:cantSplit w:val="0"/>
          <w:tblHeader w:val="0"/>
        </w:trPr>
        <w:tc>
          <w:tcPr>
            <w:shd w:fill="auto"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“Call-Off Tender”</w:t>
            </w:r>
          </w:p>
        </w:tc>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tender submitted by the Supplier in response to the Buyer’s Statement of Requirements following a Further Competition Procedure and set out in Call-Off Schedule 4 (Call-Off Tender);</w:t>
            </w:r>
          </w:p>
        </w:tc>
      </w:tr>
      <w:tr>
        <w:trPr>
          <w:cantSplit w:val="0"/>
          <w:tblHeader w:val="0"/>
        </w:trPr>
        <w:tc>
          <w:tcPr>
            <w:shd w:fill="auto"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“CCS”</w:t>
            </w:r>
          </w:p>
        </w:tc>
        <w:tc>
          <w:tcPr>
            <w:shd w:fill="auto" w:val="cle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shd w:fill="auto"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“CCS Authorised Representative”</w:t>
            </w:r>
          </w:p>
        </w:tc>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representative appointed by CCS from time to time in relation to the Framework Contract initially identified in the Framework Award Form;</w:t>
            </w:r>
          </w:p>
        </w:tc>
      </w:tr>
      <w:tr>
        <w:trPr>
          <w:cantSplit w:val="0"/>
          <w:tblHeader w:val="0"/>
        </w:trPr>
        <w:tc>
          <w:tcPr>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“Central Government Body”</w:t>
            </w:r>
          </w:p>
        </w:tc>
        <w:tc>
          <w:tcPr>
            <w:shd w:fill="auto" w:val="clea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D">
            <w:pPr>
              <w:numPr>
                <w:ilvl w:val="1"/>
                <w:numId w:val="19"/>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Government Department;</w:t>
            </w:r>
          </w:p>
          <w:p w:rsidR="00000000" w:rsidDel="00000000" w:rsidP="00000000" w:rsidRDefault="00000000" w:rsidRPr="00000000" w14:paraId="0000006E">
            <w:pPr>
              <w:numPr>
                <w:ilvl w:val="1"/>
                <w:numId w:val="19"/>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Non-Departmental Public Body or Assembly Sponsored Public Body (advisory, executive, or tribunal);</w:t>
            </w:r>
          </w:p>
          <w:p w:rsidR="00000000" w:rsidDel="00000000" w:rsidP="00000000" w:rsidRDefault="00000000" w:rsidRPr="00000000" w14:paraId="0000006F">
            <w:pPr>
              <w:numPr>
                <w:ilvl w:val="1"/>
                <w:numId w:val="19"/>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Non-Ministerial Department; or</w:t>
            </w:r>
          </w:p>
          <w:p w:rsidR="00000000" w:rsidDel="00000000" w:rsidP="00000000" w:rsidRDefault="00000000" w:rsidRPr="00000000" w14:paraId="00000070">
            <w:pPr>
              <w:numPr>
                <w:ilvl w:val="1"/>
                <w:numId w:val="19"/>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Executive Agency;</w:t>
            </w:r>
          </w:p>
        </w:tc>
      </w:tr>
      <w:tr>
        <w:trPr>
          <w:cantSplit w:val="0"/>
          <w:tblHeader w:val="0"/>
        </w:trPr>
        <w:tc>
          <w:tcPr>
            <w:shd w:fill="auto"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“Change in Law”</w:t>
            </w:r>
          </w:p>
        </w:tc>
        <w:tc>
          <w:tcPr>
            <w:shd w:fill="auto"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2"/>
                <w:szCs w:val="22"/>
                <w:rtl w:val="0"/>
              </w:rPr>
              <w:t xml:space="preserv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“Change of Control”</w:t>
            </w:r>
          </w:p>
        </w:tc>
        <w:tc>
          <w:tcPr>
            <w:shd w:fill="auto"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change of Control;</w:t>
            </w:r>
          </w:p>
        </w:tc>
      </w:tr>
      <w:tr>
        <w:trPr>
          <w:cantSplit w:val="0"/>
          <w:tblHeader w:val="0"/>
        </w:trPr>
        <w:tc>
          <w:tcPr>
            <w:shd w:fill="auto" w:val="clea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“Charges”</w:t>
            </w:r>
          </w:p>
        </w:tc>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prices (exclusive of any applicable VAT), payable to the Supplier by the Buyer under the Call-Off Contract, as set out or referred to in the Order Form, for the full and proper performance by the Supplier of its obligations under the Call-Off Contract less any Deductions;</w:t>
            </w:r>
          </w:p>
        </w:tc>
      </w:tr>
      <w:tr>
        <w:trPr>
          <w:cantSplit w:val="0"/>
          <w:tblHeader w:val="0"/>
        </w:trPr>
        <w:tc>
          <w:tcPr>
            <w:shd w:fill="auto"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“Claim”</w:t>
            </w:r>
          </w:p>
        </w:tc>
        <w:tc>
          <w:tcPr>
            <w:shd w:fill="auto"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claim which it appears that a Beneficiary is, or may become, entitled to indemnification under this Contract;</w:t>
            </w:r>
          </w:p>
        </w:tc>
      </w:tr>
      <w:tr>
        <w:trPr>
          <w:cantSplit w:val="0"/>
          <w:tblHeader w:val="0"/>
        </w:trPr>
        <w:tc>
          <w:tcPr>
            <w:shd w:fill="auto"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“Cohort”</w:t>
            </w:r>
          </w:p>
        </w:tc>
        <w:tc>
          <w:tcPr>
            <w:shd w:fill="auto"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 Lot 4 and Lot 1 Part B, a group of individuals with a shared requirement for accommodation as stipulated by the Buyer.</w:t>
            </w:r>
          </w:p>
        </w:tc>
      </w:tr>
      <w:tr>
        <w:trPr>
          <w:cantSplit w:val="0"/>
          <w:tblHeader w:val="0"/>
        </w:trPr>
        <w:tc>
          <w:tcPr>
            <w:shd w:fill="auto"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“Commercially Sensitive Information”</w:t>
            </w:r>
          </w:p>
        </w:tc>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shd w:fill="auto"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“Comparable Supply”</w:t>
            </w:r>
          </w:p>
        </w:tc>
        <w:tc>
          <w:tcPr>
            <w:shd w:fill="auto" w:val="clea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supply of Deliverables to another Buyer of the Supplier that are the same or similar to the Deliverables;</w:t>
            </w:r>
          </w:p>
        </w:tc>
      </w:tr>
      <w:tr>
        <w:trPr>
          <w:cantSplit w:val="0"/>
          <w:tblHeader w:val="0"/>
        </w:trPr>
        <w:tc>
          <w:tcPr>
            <w:shd w:fill="auto" w:val="clea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 Officer”</w:t>
            </w:r>
          </w:p>
        </w:tc>
        <w:tc>
          <w:tcPr>
            <w:shd w:fill="auto"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person(s) appointed by the Supplier who is responsible for ensuring that the Supplier complies with its legal obligations;</w:t>
            </w:r>
          </w:p>
        </w:tc>
      </w:tr>
      <w:tr>
        <w:trPr>
          <w:cantSplit w:val="0"/>
          <w:tblHeader w:val="0"/>
        </w:trPr>
        <w:tc>
          <w:tcPr>
            <w:shd w:fill="auto" w:val="clea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“Confidential Information”</w:t>
            </w:r>
          </w:p>
        </w:tc>
        <w:tc>
          <w:tcPr>
            <w:shd w:fill="auto" w:val="clear"/>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2"/>
                <w:szCs w:val="22"/>
                <w:rtl w:val="0"/>
              </w:rPr>
              <w:t xml:space="preserve">“confidential”</w:t>
            </w:r>
            <w:r w:rsidDel="00000000" w:rsidR="00000000" w:rsidRPr="00000000">
              <w:rPr>
                <w:rFonts w:ascii="Arial" w:cs="Arial" w:eastAsia="Arial" w:hAnsi="Arial"/>
                <w:color w:val="000000"/>
                <w:sz w:val="22"/>
                <w:szCs w:val="22"/>
                <w:rtl w:val="0"/>
              </w:rPr>
              <w:t xml:space="preserve">) or which ought reasonably to be considered to be confidential;</w:t>
            </w:r>
          </w:p>
        </w:tc>
      </w:tr>
      <w:tr>
        <w:trPr>
          <w:cantSplit w:val="0"/>
          <w:tblHeader w:val="0"/>
        </w:trPr>
        <w:tc>
          <w:tcPr>
            <w:shd w:fill="auto" w:val="clea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“Conflict of Interest”</w:t>
            </w:r>
          </w:p>
        </w:tc>
        <w:tc>
          <w:tcPr>
            <w:shd w:fill="auto" w:val="clear"/>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shd w:fill="auto" w:val="clea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“Contract”</w:t>
            </w:r>
          </w:p>
        </w:tc>
        <w:tc>
          <w:tcPr>
            <w:shd w:fill="auto" w:val="clea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either the Framework Contract or the Call-Off Contract, as the context requires;</w:t>
            </w:r>
          </w:p>
        </w:tc>
      </w:tr>
      <w:tr>
        <w:trPr>
          <w:cantSplit w:val="0"/>
          <w:tblHeader w:val="0"/>
        </w:trPr>
        <w:tc>
          <w:tcPr>
            <w:shd w:fill="auto"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“Contract Period”</w:t>
            </w:r>
          </w:p>
        </w:tc>
        <w:tc>
          <w:tcPr>
            <w:shd w:fill="auto" w:val="clea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term of either a Framework Contract or Call-Off Contract on and from the earlier of the:</w:t>
            </w:r>
          </w:p>
          <w:p w:rsidR="00000000" w:rsidDel="00000000" w:rsidP="00000000" w:rsidRDefault="00000000" w:rsidRPr="00000000" w14:paraId="00000089">
            <w:pPr>
              <w:numPr>
                <w:ilvl w:val="1"/>
                <w:numId w:val="34"/>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applicable Start Date; or</w:t>
            </w:r>
          </w:p>
          <w:p w:rsidR="00000000" w:rsidDel="00000000" w:rsidP="00000000" w:rsidRDefault="00000000" w:rsidRPr="00000000" w14:paraId="0000008A">
            <w:pPr>
              <w:numPr>
                <w:ilvl w:val="1"/>
                <w:numId w:val="34"/>
              </w:numPr>
              <w:pBdr>
                <w:top w:space="0" w:sz="0" w:val="nil"/>
                <w:left w:space="0" w:sz="0" w:val="nil"/>
                <w:bottom w:space="0" w:sz="0" w:val="nil"/>
                <w:right w:space="0" w:sz="0" w:val="nil"/>
                <w:between w:space="0" w:sz="0" w:val="nil"/>
              </w:pBdr>
              <w:tabs>
                <w:tab w:val="left" w:leader="none" w:pos="853"/>
              </w:tabs>
              <w:spacing w:after="60" w:before="60" w:lineRule="auto"/>
              <w:ind w:left="853" w:right="276" w:hanging="709"/>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Effective Date,</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60" w:before="60" w:lineRule="auto"/>
              <w:ind w:left="711" w:right="276" w:hanging="54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up to and including the applicable End Date; </w:t>
            </w:r>
          </w:p>
        </w:tc>
      </w:tr>
      <w:tr>
        <w:trPr>
          <w:cantSplit w:val="0"/>
          <w:tblHeader w:val="0"/>
        </w:trPr>
        <w:tc>
          <w:tcPr>
            <w:shd w:fill="auto"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“Contract Value”</w:t>
            </w:r>
          </w:p>
        </w:tc>
        <w:tc>
          <w:tcPr>
            <w:shd w:fill="auto"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higher of the actual or expected total Charges paid or payable under a Contract where all obligations are met by the Supplier;</w:t>
            </w:r>
          </w:p>
        </w:tc>
      </w:tr>
      <w:tr>
        <w:trPr>
          <w:cantSplit w:val="0"/>
          <w:tblHeader w:val="0"/>
        </w:trPr>
        <w:tc>
          <w:tcPr>
            <w:shd w:fill="auto" w:val="clear"/>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“Contract Year”</w:t>
            </w:r>
          </w:p>
        </w:tc>
        <w:tc>
          <w:tcPr>
            <w:shd w:fill="auto"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consecutive period of twelve (12) Months commencing on the Start Date or each anniversary thereof;</w:t>
            </w:r>
          </w:p>
        </w:tc>
      </w:tr>
      <w:tr>
        <w:trPr>
          <w:cantSplit w:val="0"/>
          <w:tblHeader w:val="0"/>
        </w:trPr>
        <w:tc>
          <w:tcPr>
            <w:shd w:fill="auto" w:val="clea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“Control”</w:t>
            </w:r>
          </w:p>
        </w:tc>
        <w:tc>
          <w:tcPr>
            <w:shd w:fill="auto" w:val="clea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2"/>
                <w:szCs w:val="22"/>
                <w:rtl w:val="0"/>
              </w:rPr>
              <w:t xml:space="preserve">Controlled</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“Controller”</w:t>
            </w:r>
          </w:p>
        </w:tc>
        <w:tc>
          <w:tcPr>
            <w:shd w:fill="auto"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“Core Terms”</w:t>
            </w:r>
          </w:p>
        </w:tc>
        <w:tc>
          <w:tcPr>
            <w:shd w:fill="auto" w:val="clea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CCS’ terms and conditions for common goods and services which govern how Suppliers must interact with CCS and Buyers under Framework Contracts and Call-Off Contracts;</w:t>
            </w:r>
          </w:p>
        </w:tc>
      </w:tr>
      <w:tr>
        <w:trPr>
          <w:cantSplit w:val="0"/>
          <w:tblHeader w:val="0"/>
        </w:trPr>
        <w:tc>
          <w:tcPr>
            <w:shd w:fill="auto" w:val="clear"/>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“Costs”</w:t>
            </w:r>
          </w:p>
        </w:tc>
        <w:tc>
          <w:tcPr>
            <w:shd w:fill="auto" w:val="clear"/>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60" w:before="60" w:lineRule="auto"/>
              <w:ind w:left="170" w:right="13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8">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9">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base salary paid to the Supplier Staff;</w:t>
            </w:r>
          </w:p>
          <w:p w:rsidR="00000000" w:rsidDel="00000000" w:rsidP="00000000" w:rsidRDefault="00000000" w:rsidRPr="00000000" w14:paraId="0000009A">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employer’s National Insurance contributions;</w:t>
            </w:r>
          </w:p>
          <w:p w:rsidR="00000000" w:rsidDel="00000000" w:rsidP="00000000" w:rsidRDefault="00000000" w:rsidRPr="00000000" w14:paraId="0000009B">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pension contributions;</w:t>
            </w:r>
          </w:p>
          <w:p w:rsidR="00000000" w:rsidDel="00000000" w:rsidP="00000000" w:rsidRDefault="00000000" w:rsidRPr="00000000" w14:paraId="0000009C">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car allowances; </w:t>
            </w:r>
          </w:p>
          <w:p w:rsidR="00000000" w:rsidDel="00000000" w:rsidP="00000000" w:rsidRDefault="00000000" w:rsidRPr="00000000" w14:paraId="0000009D">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other contractual employment benefits;</w:t>
            </w:r>
          </w:p>
          <w:p w:rsidR="00000000" w:rsidDel="00000000" w:rsidP="00000000" w:rsidRDefault="00000000" w:rsidRPr="00000000" w14:paraId="0000009E">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staff training;</w:t>
            </w:r>
          </w:p>
          <w:p w:rsidR="00000000" w:rsidDel="00000000" w:rsidP="00000000" w:rsidRDefault="00000000" w:rsidRPr="00000000" w14:paraId="0000009F">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work place accommodation;</w:t>
            </w:r>
          </w:p>
          <w:p w:rsidR="00000000" w:rsidDel="00000000" w:rsidP="00000000" w:rsidRDefault="00000000" w:rsidRPr="00000000" w14:paraId="000000A0">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1">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reasonable recruitment costs, as agreed with the Buyer; </w:t>
            </w:r>
          </w:p>
          <w:p w:rsidR="00000000" w:rsidDel="00000000" w:rsidP="00000000" w:rsidRDefault="00000000" w:rsidRPr="00000000" w14:paraId="000000A2">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3">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4">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5">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 xml:space="preserve">but excluding:</w:t>
            </w:r>
          </w:p>
          <w:p w:rsidR="00000000" w:rsidDel="00000000" w:rsidP="00000000" w:rsidRDefault="00000000" w:rsidRPr="00000000" w14:paraId="000000A6">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Overhead;</w:t>
            </w:r>
          </w:p>
          <w:p w:rsidR="00000000" w:rsidDel="00000000" w:rsidP="00000000" w:rsidRDefault="00000000" w:rsidRPr="00000000" w14:paraId="000000A7">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financing or similar costs;</w:t>
            </w:r>
          </w:p>
          <w:p w:rsidR="00000000" w:rsidDel="00000000" w:rsidP="00000000" w:rsidRDefault="00000000" w:rsidRPr="00000000" w14:paraId="000000A8">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9">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taxation;</w:t>
            </w:r>
          </w:p>
          <w:p w:rsidR="00000000" w:rsidDel="00000000" w:rsidP="00000000" w:rsidRDefault="00000000" w:rsidRPr="00000000" w14:paraId="000000AA">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fines and penalties;</w:t>
            </w:r>
          </w:p>
          <w:p w:rsidR="00000000" w:rsidDel="00000000" w:rsidP="00000000" w:rsidRDefault="00000000" w:rsidRPr="00000000" w14:paraId="000000AB">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amounts payable under Call-Off Schedule 16 (Benchmarking) where such Schedule is used; and</w:t>
            </w:r>
          </w:p>
          <w:p w:rsidR="00000000" w:rsidDel="00000000" w:rsidP="00000000" w:rsidRDefault="00000000" w:rsidRPr="00000000" w14:paraId="000000AC">
            <w:pPr>
              <w:numPr>
                <w:ilvl w:val="1"/>
                <w:numId w:val="3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non-cash items (including depreciation, amortisation, impairments and movements in provisions);</w:t>
            </w:r>
          </w:p>
        </w:tc>
      </w:tr>
      <w:tr>
        <w:trPr>
          <w:cantSplit w:val="0"/>
          <w:tblHeader w:val="0"/>
        </w:trPr>
        <w:tc>
          <w:tcPr>
            <w:shd w:fill="auto" w:val="clear"/>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“Commercial off the shelf Software” or “COTS Software”</w:t>
            </w:r>
          </w:p>
        </w:tc>
        <w:tc>
          <w:tcPr>
            <w:shd w:fill="auto" w:val="clea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“CRTPA”</w:t>
            </w:r>
          </w:p>
        </w:tc>
        <w:tc>
          <w:tcPr>
            <w:shd w:fill="auto" w:val="clear"/>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Contracts (Rights of Third Parties) Act 1999;</w:t>
            </w:r>
          </w:p>
        </w:tc>
      </w:tr>
      <w:tr>
        <w:trPr>
          <w:cantSplit w:val="0"/>
          <w:tblHeader w:val="0"/>
        </w:trPr>
        <w:tc>
          <w:tcPr>
            <w:shd w:fill="auto" w:val="clear"/>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Protection Impact Assessment”</w:t>
            </w:r>
          </w:p>
        </w:tc>
        <w:tc>
          <w:tcPr>
            <w:shd w:fill="auto" w:val="clear"/>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assessment by the Controller of the impact of the envisaged Processing on the protection of Personal Data;</w:t>
            </w:r>
          </w:p>
        </w:tc>
      </w:tr>
      <w:tr>
        <w:trPr>
          <w:cantSplit w:val="0"/>
          <w:tblHeader w:val="0"/>
        </w:trPr>
        <w:tc>
          <w:tcPr>
            <w:shd w:fill="auto" w:val="clea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Protection Legislation”</w:t>
            </w:r>
          </w:p>
        </w:tc>
        <w:tc>
          <w:tcPr>
            <w:shd w:fill="auto" w:val="clear"/>
          </w:tcPr>
          <w:p w:rsidR="00000000" w:rsidDel="00000000" w:rsidP="00000000" w:rsidRDefault="00000000" w:rsidRPr="00000000" w14:paraId="000000B4">
            <w:pPr>
              <w:numPr>
                <w:ilvl w:val="1"/>
                <w:numId w:val="35"/>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UK GDPR as amended from time to time;</w:t>
            </w:r>
          </w:p>
          <w:p w:rsidR="00000000" w:rsidDel="00000000" w:rsidP="00000000" w:rsidRDefault="00000000" w:rsidRPr="00000000" w14:paraId="000000B5">
            <w:pPr>
              <w:numPr>
                <w:ilvl w:val="1"/>
                <w:numId w:val="35"/>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DPA 2018 to the extent that it relates to Processing of Personal Data and privacy; and</w:t>
            </w:r>
          </w:p>
          <w:p w:rsidR="00000000" w:rsidDel="00000000" w:rsidP="00000000" w:rsidRDefault="00000000" w:rsidRPr="00000000" w14:paraId="000000B6">
            <w:pPr>
              <w:numPr>
                <w:ilvl w:val="1"/>
                <w:numId w:val="35"/>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applicable Law about the Processing of Personal Data and privacy;</w:t>
            </w:r>
          </w:p>
        </w:tc>
      </w:tr>
      <w:tr>
        <w:trPr>
          <w:cantSplit w:val="0"/>
          <w:tblHeader w:val="0"/>
        </w:trPr>
        <w:tc>
          <w:tcPr>
            <w:shd w:fill="auto" w:val="clea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Protection Liability Cap”</w:t>
            </w:r>
          </w:p>
        </w:tc>
        <w:tc>
          <w:tcPr>
            <w:shd w:fill="auto" w:val="clea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amount specified in the Framework Award Form;</w:t>
            </w:r>
          </w:p>
        </w:tc>
      </w:tr>
      <w:tr>
        <w:trPr>
          <w:cantSplit w:val="0"/>
          <w:tblHeader w:val="0"/>
        </w:trPr>
        <w:tc>
          <w:tcPr>
            <w:shd w:fill="auto" w:val="clea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Protection Officer”</w:t>
            </w:r>
          </w:p>
        </w:tc>
        <w:tc>
          <w:tcPr>
            <w:shd w:fill="auto" w:val="clea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Subject”</w:t>
            </w:r>
          </w:p>
        </w:tc>
        <w:tc>
          <w:tcPr>
            <w:shd w:fill="auto" w:val="clea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“Data Subject Access Request”</w:t>
            </w:r>
          </w:p>
        </w:tc>
        <w:tc>
          <w:tcPr>
            <w:shd w:fill="auto" w:val="clea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request made by, or on behalf of, a Data Subject in accordance with rights granted pursuant to the Data Protection Legislation to access their Personal Data;</w:t>
            </w:r>
          </w:p>
        </w:tc>
      </w:tr>
      <w:tr>
        <w:trPr>
          <w:cantSplit w:val="0"/>
          <w:tblHeader w:val="0"/>
        </w:trPr>
        <w:tc>
          <w:tcPr>
            <w:shd w:fill="auto" w:val="clea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“Deductions”</w:t>
            </w:r>
          </w:p>
        </w:tc>
        <w:tc>
          <w:tcPr>
            <w:shd w:fill="auto" w:val="clear"/>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Service Credits, Delay Payments (if applicable), or any other deduction which the Buyer is paid or is payable to the Buyer under a Call-Off Contract;</w:t>
            </w:r>
          </w:p>
        </w:tc>
      </w:tr>
      <w:tr>
        <w:trPr>
          <w:cantSplit w:val="0"/>
          <w:tblHeader w:val="0"/>
        </w:trPr>
        <w:tc>
          <w:tcPr>
            <w:shd w:fill="auto" w:val="clea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“Default”</w:t>
            </w:r>
          </w:p>
        </w:tc>
        <w:tc>
          <w:tcPr>
            <w:shd w:fill="auto" w:val="clea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shd w:fill="auto" w:val="clea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“Default Management Charge”</w:t>
            </w:r>
          </w:p>
        </w:tc>
        <w:tc>
          <w:tcPr>
            <w:shd w:fill="auto" w:val="clea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Paragraph 8.1.1 of Framework Schedule 5 (Management Charges and Information);</w:t>
            </w:r>
          </w:p>
        </w:tc>
      </w:tr>
      <w:tr>
        <w:trPr>
          <w:cantSplit w:val="0"/>
          <w:tblHeader w:val="0"/>
        </w:trPr>
        <w:tc>
          <w:tcPr>
            <w:shd w:fill="auto" w:val="clea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“Delay Payments”</w:t>
            </w:r>
          </w:p>
        </w:tc>
        <w:tc>
          <w:tcPr>
            <w:shd w:fill="auto" w:val="clear"/>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amounts (if any) payable by the Supplier to the Buyer in respect of a delay in respect of a Milestone as specified in the Implementation Plan;</w:t>
            </w:r>
          </w:p>
        </w:tc>
      </w:tr>
      <w:tr>
        <w:trPr>
          <w:cantSplit w:val="0"/>
          <w:tblHeader w:val="0"/>
        </w:trPr>
        <w:tc>
          <w:tcPr>
            <w:shd w:fill="auto" w:val="cle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“Deliverables”</w:t>
            </w:r>
          </w:p>
        </w:tc>
        <w:tc>
          <w:tcPr>
            <w:shd w:fill="auto" w:val="clea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Goods and/or Services that may be ordered under the Contract including the Documentation; </w:t>
            </w:r>
          </w:p>
        </w:tc>
      </w:tr>
      <w:tr>
        <w:trPr>
          <w:cantSplit w:val="0"/>
          <w:tblHeader w:val="0"/>
        </w:trPr>
        <w:tc>
          <w:tcPr>
            <w:shd w:fill="auto" w:val="clea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“Delivery”</w:t>
            </w:r>
          </w:p>
        </w:tc>
        <w:tc>
          <w:tcPr>
            <w:shd w:fill="auto" w:val="clear"/>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delivery of the relevant Deliverable or Milestone in accordance with the terms of a Call-Off Contract as confirmed and accepted by the Buyer by confirmation in writing to the Supplier. “</w:t>
            </w:r>
            <w:r w:rsidDel="00000000" w:rsidR="00000000" w:rsidRPr="00000000">
              <w:rPr>
                <w:rFonts w:ascii="Arial" w:cs="Arial" w:eastAsia="Arial" w:hAnsi="Arial"/>
                <w:b w:val="1"/>
                <w:color w:val="000000"/>
                <w:sz w:val="22"/>
                <w:szCs w:val="22"/>
                <w:rtl w:val="0"/>
              </w:rPr>
              <w:t xml:space="preserve">Deliver</w:t>
            </w:r>
            <w:r w:rsidDel="00000000" w:rsidR="00000000" w:rsidRPr="00000000">
              <w:rPr>
                <w:rFonts w:ascii="Arial" w:cs="Arial" w:eastAsia="Arial" w:hAnsi="Arial"/>
                <w:color w:val="000000"/>
                <w:sz w:val="22"/>
                <w:szCs w:val="22"/>
                <w:rtl w:val="0"/>
              </w:rPr>
              <w:t xml:space="preserve">” and “</w:t>
            </w:r>
            <w:r w:rsidDel="00000000" w:rsidR="00000000" w:rsidRPr="00000000">
              <w:rPr>
                <w:rFonts w:ascii="Arial" w:cs="Arial" w:eastAsia="Arial" w:hAnsi="Arial"/>
                <w:b w:val="1"/>
                <w:color w:val="000000"/>
                <w:sz w:val="22"/>
                <w:szCs w:val="22"/>
                <w:rtl w:val="0"/>
              </w:rPr>
              <w:t xml:space="preserve">Delivered</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“Disclosing Party”</w:t>
            </w:r>
          </w:p>
        </w:tc>
        <w:tc>
          <w:tcPr>
            <w:shd w:fill="auto" w:val="clear"/>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Party directly or indirectly providing Confidential Information to the other Party in accordance with Clause 15 (What you must keep confidential);</w:t>
            </w:r>
          </w:p>
        </w:tc>
      </w:tr>
      <w:tr>
        <w:trPr>
          <w:cantSplit w:val="0"/>
          <w:tblHeader w:val="0"/>
        </w:trPr>
        <w:tc>
          <w:tcPr>
            <w:shd w:fill="auto" w:val="clear"/>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“Dispute”</w:t>
            </w:r>
          </w:p>
        </w:tc>
        <w:tc>
          <w:tcPr>
            <w:shd w:fill="auto" w:val="clea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shd w:fill="auto" w:val="clear"/>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“Dispute Resolution Procedure”</w:t>
            </w:r>
          </w:p>
        </w:tc>
        <w:tc>
          <w:tcPr>
            <w:shd w:fill="auto" w:val="clea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dispute resolution procedure set out in Clause 34 (Resolving disputes);</w:t>
            </w:r>
          </w:p>
        </w:tc>
      </w:tr>
      <w:tr>
        <w:trPr>
          <w:cantSplit w:val="0"/>
          <w:tblHeader w:val="0"/>
        </w:trPr>
        <w:tc>
          <w:tcPr>
            <w:shd w:fill="auto" w:val="clear"/>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“Documentation”</w:t>
            </w:r>
          </w:p>
        </w:tc>
        <w:tc>
          <w:tcPr>
            <w:shd w:fill="auto" w:val="clea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required to be supplied by the Supplier to the Buyer under a Contract as:</w:t>
            </w:r>
          </w:p>
          <w:p w:rsidR="00000000" w:rsidDel="00000000" w:rsidP="00000000" w:rsidRDefault="00000000" w:rsidRPr="00000000" w14:paraId="000000D3">
            <w:pPr>
              <w:numPr>
                <w:ilvl w:val="1"/>
                <w:numId w:val="21"/>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4">
            <w:pPr>
              <w:numPr>
                <w:ilvl w:val="1"/>
                <w:numId w:val="21"/>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is required by the Supplier in order to provide the Deliverables; and/or</w:t>
            </w:r>
          </w:p>
          <w:p w:rsidR="00000000" w:rsidDel="00000000" w:rsidP="00000000" w:rsidRDefault="00000000" w:rsidRPr="00000000" w14:paraId="000000D5">
            <w:pPr>
              <w:numPr>
                <w:ilvl w:val="1"/>
                <w:numId w:val="21"/>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been or shall be generated for the purpose of providing the Deliverables;</w:t>
            </w:r>
          </w:p>
        </w:tc>
      </w:tr>
      <w:tr>
        <w:trPr>
          <w:cantSplit w:val="0"/>
          <w:tblHeader w:val="0"/>
        </w:trPr>
        <w:tc>
          <w:tcPr>
            <w:shd w:fill="auto" w:val="clea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“DOTAS”</w:t>
            </w:r>
          </w:p>
        </w:tc>
        <w:tc>
          <w:tcPr>
            <w:shd w:fill="auto" w:val="clear"/>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shd w:fill="auto" w:val="clea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“DPA 2018”</w:t>
            </w:r>
          </w:p>
        </w:tc>
        <w:tc>
          <w:tcPr>
            <w:shd w:fill="auto" w:val="clear"/>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Data Protection Act 2018;</w:t>
            </w:r>
          </w:p>
        </w:tc>
      </w:tr>
      <w:tr>
        <w:trPr>
          <w:cantSplit w:val="0"/>
          <w:tblHeader w:val="0"/>
        </w:trPr>
        <w:tc>
          <w:tcPr>
            <w:shd w:fill="auto" w:val="clea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“Due Diligence Information”</w:t>
            </w:r>
          </w:p>
        </w:tc>
        <w:tc>
          <w:tcPr>
            <w:shd w:fill="auto" w:val="clear"/>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information supplied to the Supplier by or on behalf of the Authority prior to the Start Date;</w:t>
            </w:r>
          </w:p>
        </w:tc>
      </w:tr>
      <w:tr>
        <w:trPr>
          <w:cantSplit w:val="0"/>
          <w:tblHeader w:val="0"/>
        </w:trPr>
        <w:tc>
          <w:tcPr>
            <w:shd w:fill="auto" w:val="clear"/>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“Effective Date”</w:t>
            </w:r>
          </w:p>
        </w:tc>
        <w:tc>
          <w:tcPr>
            <w:shd w:fill="auto" w:val="clear"/>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date on which the final Party has signed the Contract;</w:t>
            </w:r>
          </w:p>
        </w:tc>
      </w:tr>
      <w:tr>
        <w:trPr>
          <w:cantSplit w:val="0"/>
          <w:tblHeader w:val="0"/>
        </w:trPr>
        <w:tc>
          <w:tcPr>
            <w:shd w:fill="auto" w:val="clear"/>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“EIR”</w:t>
            </w:r>
          </w:p>
        </w:tc>
        <w:tc>
          <w:tcPr>
            <w:shd w:fill="auto" w:val="clear"/>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Environmental Information Regulations 2004;</w:t>
            </w:r>
          </w:p>
        </w:tc>
      </w:tr>
      <w:tr>
        <w:trPr>
          <w:cantSplit w:val="0"/>
          <w:tblHeader w:val="0"/>
        </w:trPr>
        <w:tc>
          <w:tcPr>
            <w:shd w:fill="auto" w:val="clear"/>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“Electronic Invoice”</w:t>
            </w:r>
          </w:p>
        </w:tc>
        <w:tc>
          <w:tcPr>
            <w:shd w:fill="auto" w:val="clear"/>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shd w:fill="auto" w:val="cle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“Employment Regulations”</w:t>
            </w:r>
          </w:p>
        </w:tc>
        <w:tc>
          <w:tcPr>
            <w:shd w:fill="auto" w:val="clear"/>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shd w:fill="auto" w:val="clear"/>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“End Date” </w:t>
            </w:r>
          </w:p>
        </w:tc>
        <w:tc>
          <w:tcPr>
            <w:shd w:fill="auto" w:val="clear"/>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earlier of: </w:t>
            </w:r>
          </w:p>
          <w:p w:rsidR="00000000" w:rsidDel="00000000" w:rsidP="00000000" w:rsidRDefault="00000000" w:rsidRPr="00000000" w14:paraId="000000E6">
            <w:pPr>
              <w:numPr>
                <w:ilvl w:val="1"/>
                <w:numId w:val="2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Expiry Date (as extended by any Extension Period exercised by the Relevant Authority under Clause 10.1.2); or</w:t>
            </w:r>
          </w:p>
          <w:p w:rsidR="00000000" w:rsidDel="00000000" w:rsidP="00000000" w:rsidRDefault="00000000" w:rsidRPr="00000000" w14:paraId="000000E7">
            <w:pPr>
              <w:numPr>
                <w:ilvl w:val="1"/>
                <w:numId w:val="22"/>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if a Contract is terminated before the date specified in (a) above, the date of termination of the Contract;</w:t>
            </w:r>
          </w:p>
        </w:tc>
      </w:tr>
      <w:tr>
        <w:trPr>
          <w:cantSplit w:val="0"/>
          <w:tblHeader w:val="0"/>
        </w:trPr>
        <w:tc>
          <w:tcPr>
            <w:shd w:fill="auto" w:val="cle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“End to End”</w:t>
            </w:r>
          </w:p>
        </w:tc>
        <w:tc>
          <w:tcPr>
            <w:shd w:fill="auto" w:val="clear"/>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Under Lot 4 and Lot 1 Part B, the full citizen accommodation service requirements from the arrival of a Service User in the UK until their permanent departure from the contracted accommodation. </w:t>
            </w:r>
          </w:p>
        </w:tc>
      </w:tr>
      <w:tr>
        <w:trPr>
          <w:cantSplit w:val="0"/>
          <w:tblHeader w:val="0"/>
        </w:trPr>
        <w:tc>
          <w:tcPr>
            <w:shd w:fill="auto" w:val="clear"/>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“Environmental Policy”</w:t>
            </w:r>
          </w:p>
        </w:tc>
        <w:tc>
          <w:tcPr>
            <w:shd w:fill="auto" w:val="clear"/>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shd w:fill="auto" w:val="clear"/>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“Equality and Human Rights Commission”</w:t>
            </w:r>
          </w:p>
        </w:tc>
        <w:tc>
          <w:tcPr>
            <w:shd w:fill="auto" w:val="cle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UK Government body named as such as may be renamed or replaced by an equivalent body from time to time;</w:t>
            </w:r>
          </w:p>
        </w:tc>
      </w:tr>
      <w:tr>
        <w:trPr>
          <w:cantSplit w:val="0"/>
          <w:tblHeader w:val="0"/>
        </w:trPr>
        <w:tc>
          <w:tcPr>
            <w:shd w:fill="auto" w:val="cle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“Estimated Year 1 Charges”</w:t>
            </w:r>
          </w:p>
        </w:tc>
        <w:tc>
          <w:tcPr>
            <w:shd w:fill="auto" w:val="clear"/>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anticipated total Charges payable by the Buyer in the first Contract Year specified in the Order Form;</w:t>
            </w:r>
          </w:p>
        </w:tc>
      </w:tr>
    </w:tbl>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bl>
      <w:tblPr>
        <w:tblStyle w:val="Table2"/>
        <w:tblW w:w="9781.0" w:type="dxa"/>
        <w:jc w:val="left"/>
        <w:tblInd w:w="-15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229"/>
        <w:tblGridChange w:id="0">
          <w:tblGrid>
            <w:gridCol w:w="2552"/>
            <w:gridCol w:w="7229"/>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shd w:fill="auto" w:val="clear"/>
            <w:tcMar>
              <w:top w:w="0.0" w:type="dxa"/>
              <w:left w:w="108.0" w:type="dxa"/>
              <w:bottom w:w="0.0" w:type="dxa"/>
              <w:right w:w="108.0" w:type="dxa"/>
            </w:tcMar>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“Estimated Yearly Charges”</w:t>
            </w:r>
          </w:p>
        </w:tc>
        <w:tc>
          <w:tcPr>
            <w:tcBorders>
              <w:top w:color="000000" w:space="0" w:sz="0" w:val="nil"/>
              <w:left w:color="000000" w:space="0" w:sz="0" w:val="nil"/>
              <w:bottom w:color="000000" w:space="0" w:sz="4" w:val="single"/>
              <w:right w:color="000000" w:space="0" w:sz="8" w:val="single"/>
            </w:tcBorders>
            <w:shd w:fill="auto" w:val="clear"/>
            <w:tcMar>
              <w:top w:w="0.0" w:type="dxa"/>
              <w:left w:w="108.0" w:type="dxa"/>
              <w:bottom w:w="0.0" w:type="dxa"/>
              <w:right w:w="108.0" w:type="dxa"/>
            </w:tcMar>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for the purposes of calculating each Party’s annual liability under Clause 11.2:</w:t>
            </w:r>
          </w:p>
          <w:p w:rsidR="00000000" w:rsidDel="00000000" w:rsidP="00000000" w:rsidRDefault="00000000" w:rsidRPr="00000000" w14:paraId="000000F3">
            <w:pPr>
              <w:numPr>
                <w:ilvl w:val="1"/>
                <w:numId w:val="37"/>
              </w:numPr>
              <w:pBdr>
                <w:top w:space="0" w:sz="0" w:val="nil"/>
                <w:left w:space="0" w:sz="0" w:val="nil"/>
                <w:bottom w:space="0" w:sz="0" w:val="nil"/>
                <w:right w:space="0" w:sz="0" w:val="nil"/>
                <w:between w:space="0" w:sz="0" w:val="nil"/>
              </w:pBdr>
              <w:tabs>
                <w:tab w:val="left" w:leader="none" w:pos="711"/>
              </w:tabs>
              <w:spacing w:after="60" w:before="60" w:lineRule="auto"/>
              <w:ind w:left="746" w:right="134" w:hanging="57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the first Contract Year, the Estimated Year 1 Charges; or</w:t>
            </w:r>
          </w:p>
          <w:p w:rsidR="00000000" w:rsidDel="00000000" w:rsidP="00000000" w:rsidRDefault="00000000" w:rsidRPr="00000000" w14:paraId="000000F4">
            <w:pPr>
              <w:numPr>
                <w:ilvl w:val="1"/>
                <w:numId w:val="37"/>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any subsequent Contract Years, the Charges paid and/or payable in the previous Contract Year; or</w:t>
            </w:r>
          </w:p>
          <w:p w:rsidR="00000000" w:rsidDel="00000000" w:rsidP="00000000" w:rsidRDefault="00000000" w:rsidRPr="00000000" w14:paraId="000000F5">
            <w:pPr>
              <w:numPr>
                <w:ilvl w:val="1"/>
                <w:numId w:val="37"/>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after the end of the Call-Off Contract, the Charges paid and/or payable in the last Contract Year during the Call-Off Contract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Exempt </w:t>
            </w:r>
            <w:r w:rsidDel="00000000" w:rsidR="00000000" w:rsidRPr="00000000">
              <w:rPr>
                <w:rFonts w:ascii="Arial" w:cs="Arial" w:eastAsia="Arial" w:hAnsi="Arial"/>
                <w:b w:val="1"/>
                <w:color w:val="000000"/>
                <w:sz w:val="22"/>
                <w:szCs w:val="22"/>
                <w:rtl w:val="0"/>
              </w:rPr>
              <w:t xml:space="preserve">Buyer</w:t>
            </w:r>
            <w:r w:rsidDel="00000000" w:rsidR="00000000" w:rsidRPr="00000000">
              <w:rPr>
                <w:rFonts w:ascii="Arial" w:cs="Arial" w:eastAsia="Arial" w:hAnsi="Arial"/>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8">
            <w:pPr>
              <w:numPr>
                <w:ilvl w:val="1"/>
                <w:numId w:val="23"/>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eligible to use the Framework Contract; and</w:t>
            </w:r>
          </w:p>
          <w:p w:rsidR="00000000" w:rsidDel="00000000" w:rsidP="00000000" w:rsidRDefault="00000000" w:rsidRPr="00000000" w14:paraId="000000F9">
            <w:pPr>
              <w:numPr>
                <w:ilvl w:val="1"/>
                <w:numId w:val="23"/>
              </w:numPr>
              <w:pBdr>
                <w:top w:space="0" w:sz="0" w:val="nil"/>
                <w:left w:space="0" w:sz="0" w:val="nil"/>
                <w:bottom w:space="0" w:sz="0" w:val="nil"/>
                <w:right w:space="0" w:sz="0" w:val="nil"/>
                <w:between w:space="0" w:sz="0" w:val="nil"/>
              </w:pBdr>
              <w:tabs>
                <w:tab w:val="left" w:leader="none" w:pos="711"/>
              </w:tabs>
              <w:spacing w:after="60" w:before="60" w:lineRule="auto"/>
              <w:ind w:left="711" w:right="134" w:hanging="53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p>
          <w:p w:rsidR="00000000" w:rsidDel="00000000" w:rsidP="00000000" w:rsidRDefault="00000000" w:rsidRPr="00000000" w14:paraId="000000FA">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B">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C">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D">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E">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F">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0">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1">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2">
            <w:pPr>
              <w:numPr>
                <w:ilvl w:val="1"/>
                <w:numId w:val="2"/>
              </w:numPr>
              <w:pBdr>
                <w:top w:space="0" w:sz="0" w:val="nil"/>
                <w:left w:space="0" w:sz="0" w:val="nil"/>
                <w:bottom w:space="0" w:sz="0" w:val="nil"/>
                <w:right w:space="0" w:sz="0" w:val="nil"/>
                <w:between w:space="0" w:sz="0" w:val="nil"/>
              </w:pBdr>
              <w:spacing w:after="60" w:before="60" w:lineRule="auto"/>
              <w:ind w:left="1314"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Exempt Call-Off Contract</w:t>
            </w:r>
            <w:r w:rsidDel="00000000" w:rsidR="00000000" w:rsidRPr="00000000">
              <w:rPr>
                <w:rFonts w:ascii="Arial" w:cs="Arial" w:eastAsia="Arial" w:hAnsi="Arial"/>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96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b w:val="1"/>
                <w:sz w:val="22"/>
                <w:szCs w:val="22"/>
                <w:rtl w:val="0"/>
              </w:rPr>
              <w:t xml:space="preserve">Exempt Procurement </w:t>
            </w:r>
            <w:r w:rsidDel="00000000" w:rsidR="00000000" w:rsidRPr="00000000">
              <w:rPr>
                <w:rFonts w:ascii="Arial" w:cs="Arial" w:eastAsia="Arial" w:hAnsi="Arial"/>
                <w:b w:val="1"/>
                <w:color w:val="000000"/>
                <w:sz w:val="22"/>
                <w:szCs w:val="22"/>
                <w:rtl w:val="0"/>
              </w:rPr>
              <w:t xml:space="preserve">Amendments</w:t>
            </w:r>
            <w:r w:rsidDel="00000000" w:rsidR="00000000" w:rsidRPr="00000000">
              <w:rPr>
                <w:rFonts w:ascii="Arial" w:cs="Arial" w:eastAsia="Arial" w:hAnsi="Arial"/>
                <w:sz w:val="22"/>
                <w:szCs w:val="22"/>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rHeight w:val="96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rPr>
            </w:pPr>
            <w:r w:rsidDel="00000000" w:rsidR="00000000" w:rsidRPr="00000000">
              <w:rPr>
                <w:rFonts w:ascii="Arial" w:cs="Arial" w:eastAsia="Arial" w:hAnsi="Arial"/>
                <w:b w:val="1"/>
                <w:color w:val="000000"/>
                <w:sz w:val="22"/>
                <w:szCs w:val="22"/>
                <w:rtl w:val="0"/>
              </w:rPr>
              <w:t xml:space="preserve">“Existing IPR”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bl>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bl>
      <w:tblPr>
        <w:tblStyle w:val="Table3"/>
        <w:tblW w:w="9778.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9"/>
        <w:gridCol w:w="7229"/>
        <w:tblGridChange w:id="0">
          <w:tblGrid>
            <w:gridCol w:w="2549"/>
            <w:gridCol w:w="722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“Exit Day”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shall have the meaning in the European Union (Withdrawal) Act 2018;</w:t>
            </w:r>
          </w:p>
        </w:tc>
      </w:tr>
      <w:tr>
        <w:trPr>
          <w:cantSplit w:val="0"/>
          <w:tblHeader w:val="0"/>
        </w:trPr>
        <w:tc>
          <w:tcPr>
            <w:tcBorders>
              <w:top w:color="000000" w:space="0" w:sz="4" w:val="single"/>
            </w:tcBorders>
            <w:shd w:fill="auto" w:val="clea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“Expiry Date”</w:t>
            </w:r>
          </w:p>
        </w:tc>
        <w:tc>
          <w:tcPr>
            <w:tcBorders>
              <w:top w:color="000000" w:space="0" w:sz="4" w:val="single"/>
            </w:tcBorders>
            <w:shd w:fill="auto" w:val="clear"/>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Framework Expiry Date or the Call-Off Expiry Date (as the context dictates); </w:t>
            </w:r>
          </w:p>
        </w:tc>
      </w:tr>
      <w:tr>
        <w:trPr>
          <w:cantSplit w:val="0"/>
          <w:tblHeader w:val="0"/>
        </w:trPr>
        <w:tc>
          <w:tcPr>
            <w:shd w:fill="auto" w:val="clea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“Extension Period”</w:t>
            </w:r>
          </w:p>
        </w:tc>
        <w:tc>
          <w:tcPr>
            <w:shd w:fill="auto" w:val="clear"/>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Framework Optional Extension Period or the Call-Off Optional Extension Period as the context dictates;</w:t>
            </w:r>
          </w:p>
        </w:tc>
      </w:tr>
      <w:tr>
        <w:trPr>
          <w:cantSplit w:val="0"/>
          <w:tblHeader w:val="0"/>
        </w:trPr>
        <w:tc>
          <w:tcPr>
            <w:shd w:fill="auto" w:val="cle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“FOIA”</w:t>
            </w:r>
          </w:p>
        </w:tc>
        <w:tc>
          <w:tcPr>
            <w:shd w:fill="auto" w:val="clea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shd w:fill="auto" w:val="cle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“Force Majeure Event”</w:t>
            </w:r>
          </w:p>
        </w:tc>
        <w:tc>
          <w:tcPr>
            <w:shd w:fill="auto" w:val="clea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4">
            <w:pPr>
              <w:numPr>
                <w:ilvl w:val="1"/>
                <w:numId w:val="1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34" w:hanging="56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riots, civil commotion, war or armed conflict;</w:t>
            </w:r>
          </w:p>
          <w:p w:rsidR="00000000" w:rsidDel="00000000" w:rsidP="00000000" w:rsidRDefault="00000000" w:rsidRPr="00000000" w14:paraId="00000115">
            <w:pPr>
              <w:numPr>
                <w:ilvl w:val="1"/>
                <w:numId w:val="1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34" w:hanging="56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acts of terrorism;</w:t>
            </w:r>
          </w:p>
          <w:p w:rsidR="00000000" w:rsidDel="00000000" w:rsidP="00000000" w:rsidRDefault="00000000" w:rsidRPr="00000000" w14:paraId="00000116">
            <w:pPr>
              <w:numPr>
                <w:ilvl w:val="1"/>
                <w:numId w:val="1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34" w:hanging="56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acts of government, local government or regulatory bodies;</w:t>
            </w:r>
          </w:p>
          <w:p w:rsidR="00000000" w:rsidDel="00000000" w:rsidP="00000000" w:rsidRDefault="00000000" w:rsidRPr="00000000" w14:paraId="00000117">
            <w:pPr>
              <w:numPr>
                <w:ilvl w:val="1"/>
                <w:numId w:val="1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34" w:hanging="56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fire, flood, storm or earthquake or other natural disaster,</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3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but excluding any industrial dispute relating to the Supplier, the Supplier Staff or any other failure in the Supplier or the Subcontractor's supply chain;</w:t>
            </w:r>
          </w:p>
        </w:tc>
      </w:tr>
      <w:tr>
        <w:trPr>
          <w:cantSplit w:val="0"/>
          <w:tblHeader w:val="0"/>
        </w:trPr>
        <w:tc>
          <w:tcPr>
            <w:shd w:fill="auto" w:val="clear"/>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“Force Majeure Notice”</w:t>
            </w:r>
          </w:p>
        </w:tc>
        <w:tc>
          <w:tcPr>
            <w:shd w:fill="auto" w:val="clear"/>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written notice served by the Affected Party on the other Party stating that the Affected Party believes that there is a Force Majeure Event;</w:t>
            </w:r>
          </w:p>
        </w:tc>
      </w:tr>
      <w:tr>
        <w:trPr>
          <w:cantSplit w:val="0"/>
          <w:tblHeader w:val="0"/>
        </w:trPr>
        <w:tc>
          <w:tcPr>
            <w:shd w:fill="auto" w:val="clear"/>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Award Form”</w:t>
            </w:r>
          </w:p>
        </w:tc>
        <w:tc>
          <w:tcPr>
            <w:shd w:fill="auto" w:val="clea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document outlining the Framework Incorporated Terms and crucial information required for the Framework Contract, to be executed by the Supplier and CCS;</w:t>
            </w:r>
          </w:p>
        </w:tc>
      </w:tr>
      <w:tr>
        <w:trPr>
          <w:cantSplit w:val="0"/>
          <w:tblHeader w:val="0"/>
        </w:trPr>
        <w:tc>
          <w:tcPr>
            <w:shd w:fill="auto" w:val="clear"/>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Contract”</w:t>
            </w:r>
          </w:p>
        </w:tc>
        <w:tc>
          <w:tcPr>
            <w:shd w:fill="auto" w:val="clear"/>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shd w:fill="auto" w:val="clear"/>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Contract Period”</w:t>
            </w:r>
          </w:p>
        </w:tc>
        <w:tc>
          <w:tcPr>
            <w:shd w:fill="auto" w:val="clear"/>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period from the Framework Start Date until the End Date of the Framework Contract;</w:t>
            </w:r>
          </w:p>
        </w:tc>
      </w:tr>
      <w:tr>
        <w:trPr>
          <w:cantSplit w:val="0"/>
          <w:tblHeader w:val="0"/>
        </w:trPr>
        <w:tc>
          <w:tcPr>
            <w:shd w:fill="auto" w:val="clear"/>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Expiry Date”</w:t>
            </w:r>
          </w:p>
        </w:tc>
        <w:tc>
          <w:tcPr>
            <w:shd w:fill="auto" w:val="clear"/>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scheduled date of the end of the Framework Contract as stated in the Framework Award Form;</w:t>
            </w:r>
          </w:p>
        </w:tc>
      </w:tr>
      <w:tr>
        <w:trPr>
          <w:cantSplit w:val="0"/>
          <w:tblHeader w:val="0"/>
        </w:trPr>
        <w:tc>
          <w:tcPr>
            <w:shd w:fill="auto" w:val="clear"/>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Incorporated Terms”</w:t>
            </w:r>
          </w:p>
        </w:tc>
        <w:tc>
          <w:tcPr>
            <w:shd w:fill="auto" w:val="clear"/>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contractual terms applicable to the Framework Contract specified in the Framework Award Form;</w:t>
            </w:r>
          </w:p>
        </w:tc>
      </w:tr>
      <w:tr>
        <w:trPr>
          <w:cantSplit w:val="0"/>
          <w:tblHeader w:val="0"/>
        </w:trPr>
        <w:tc>
          <w:tcPr>
            <w:shd w:fill="auto" w:val="clear"/>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Optional Extension Period”</w:t>
            </w:r>
          </w:p>
        </w:tc>
        <w:tc>
          <w:tcPr>
            <w:shd w:fill="auto" w:val="clear"/>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such period or periods beyond which the Framework Contract Period may be extended as specified in the Framework Award Form;</w:t>
            </w:r>
          </w:p>
        </w:tc>
      </w:tr>
      <w:tr>
        <w:trPr>
          <w:cantSplit w:val="0"/>
          <w:tblHeader w:val="0"/>
        </w:trPr>
        <w:tc>
          <w:tcPr>
            <w:shd w:fill="auto" w:val="clea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Price(s)”</w:t>
            </w:r>
          </w:p>
        </w:tc>
        <w:tc>
          <w:tcPr>
            <w:shd w:fill="auto" w:val="clear"/>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price(s) applicable to the provision of the Deliverables set out in Framework Schedule 3 (Framework Prices);</w:t>
            </w:r>
          </w:p>
        </w:tc>
      </w:tr>
      <w:tr>
        <w:trPr>
          <w:cantSplit w:val="0"/>
          <w:tblHeader w:val="0"/>
        </w:trPr>
        <w:tc>
          <w:tcPr>
            <w:shd w:fill="auto" w:val="clear"/>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Special Terms”</w:t>
            </w:r>
          </w:p>
        </w:tc>
        <w:tc>
          <w:tcPr>
            <w:shd w:fill="auto" w:val="clear"/>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additional terms and conditions specified in the Framework Award Form incorporated into the Framework Contract;</w:t>
            </w:r>
          </w:p>
        </w:tc>
      </w:tr>
      <w:tr>
        <w:trPr>
          <w:cantSplit w:val="0"/>
          <w:tblHeader w:val="0"/>
        </w:trPr>
        <w:tc>
          <w:tcPr>
            <w:shd w:fill="auto" w:val="clea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Start Date”</w:t>
            </w:r>
          </w:p>
        </w:tc>
        <w:tc>
          <w:tcPr>
            <w:shd w:fill="auto" w:val="clear"/>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date of start of the Framework Contract as stated in the Framework Award Form;</w:t>
            </w:r>
          </w:p>
        </w:tc>
      </w:tr>
      <w:tr>
        <w:trPr>
          <w:cantSplit w:val="0"/>
          <w:tblHeader w:val="0"/>
        </w:trPr>
        <w:tc>
          <w:tcPr>
            <w:shd w:fill="auto" w:val="clea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“Framework Tender Response”</w:t>
            </w:r>
          </w:p>
        </w:tc>
        <w:tc>
          <w:tcPr>
            <w:shd w:fill="auto" w:val="clear"/>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tender submitted by the Supplier to CCS and annexed to or referred to in Framework Schedule 2 (Framework Tender);</w:t>
            </w:r>
          </w:p>
        </w:tc>
      </w:tr>
      <w:tr>
        <w:trPr>
          <w:cantSplit w:val="0"/>
          <w:tblHeader w:val="0"/>
        </w:trPr>
        <w:tc>
          <w:tcPr>
            <w:shd w:fill="auto" w:val="clea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“Further Competition Procedure”</w:t>
            </w:r>
          </w:p>
        </w:tc>
        <w:tc>
          <w:tcPr>
            <w:shd w:fill="auto" w:val="clea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further competition procedure described in Framework Schedule 7 (Call-Off Award Procedure);</w:t>
            </w:r>
          </w:p>
        </w:tc>
      </w:tr>
      <w:tr>
        <w:trPr>
          <w:cantSplit w:val="0"/>
          <w:tblHeader w:val="0"/>
        </w:trPr>
        <w:tc>
          <w:tcPr>
            <w:shd w:fill="auto" w:val="clea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“General Anti-Abuse Rule”</w:t>
            </w:r>
          </w:p>
        </w:tc>
        <w:tc>
          <w:tcPr>
            <w:shd w:fill="auto" w:val="clear"/>
          </w:tcPr>
          <w:p w:rsidR="00000000" w:rsidDel="00000000" w:rsidP="00000000" w:rsidRDefault="00000000" w:rsidRPr="00000000" w14:paraId="00000132">
            <w:pPr>
              <w:numPr>
                <w:ilvl w:val="1"/>
                <w:numId w:val="24"/>
              </w:numPr>
              <w:pBdr>
                <w:top w:space="0" w:sz="0" w:val="nil"/>
                <w:left w:space="0" w:sz="0" w:val="nil"/>
                <w:bottom w:space="0" w:sz="0" w:val="nil"/>
                <w:right w:space="0" w:sz="0" w:val="nil"/>
                <w:between w:space="0" w:sz="0" w:val="nil"/>
              </w:pBdr>
              <w:tabs>
                <w:tab w:val="left" w:leader="none" w:pos="565"/>
              </w:tabs>
              <w:spacing w:after="60" w:before="60" w:lineRule="auto"/>
              <w:ind w:left="565" w:right="13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legislation in Part 5 of the Finance Act 2013; and </w:t>
            </w:r>
          </w:p>
          <w:p w:rsidR="00000000" w:rsidDel="00000000" w:rsidP="00000000" w:rsidRDefault="00000000" w:rsidRPr="00000000" w14:paraId="00000133">
            <w:pPr>
              <w:numPr>
                <w:ilvl w:val="1"/>
                <w:numId w:val="24"/>
              </w:numPr>
              <w:pBdr>
                <w:top w:space="0" w:sz="0" w:val="nil"/>
                <w:left w:space="0" w:sz="0" w:val="nil"/>
                <w:bottom w:space="0" w:sz="0" w:val="nil"/>
                <w:right w:space="0" w:sz="0" w:val="nil"/>
                <w:between w:space="0" w:sz="0" w:val="nil"/>
              </w:pBdr>
              <w:tabs>
                <w:tab w:val="left" w:leader="none" w:pos="565"/>
              </w:tabs>
              <w:spacing w:after="60" w:before="60" w:lineRule="auto"/>
              <w:ind w:left="565" w:right="134" w:hanging="42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future legislation introduced into Parliament to counteract Tax advantages arising from abusive arrangements to avoid National Insurance contributions;</w:t>
            </w:r>
          </w:p>
        </w:tc>
      </w:tr>
      <w:tr>
        <w:trPr>
          <w:cantSplit w:val="0"/>
          <w:tblHeader w:val="0"/>
        </w:trPr>
        <w:tc>
          <w:tcPr>
            <w:shd w:fill="auto" w:val="clea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“General Change in Law”</w:t>
            </w:r>
          </w:p>
        </w:tc>
        <w:tc>
          <w:tcPr>
            <w:shd w:fill="auto" w:val="clear"/>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shd w:fill="auto" w:val="clea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“Good Industry Practice”</w:t>
            </w:r>
          </w:p>
        </w:tc>
        <w:tc>
          <w:tcPr>
            <w:shd w:fill="auto" w:val="clear"/>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shd w:fill="auto" w:val="clea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“Government”</w:t>
            </w:r>
          </w:p>
        </w:tc>
        <w:tc>
          <w:tcPr>
            <w:shd w:fill="auto" w:val="clear"/>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shd w:fill="auto" w:val="clea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“Government Data”</w:t>
            </w:r>
          </w:p>
        </w:tc>
        <w:tc>
          <w:tcPr>
            <w:shd w:fill="auto" w:val="clear"/>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C">
            <w:pPr>
              <w:numPr>
                <w:ilvl w:val="1"/>
                <w:numId w:val="25"/>
              </w:numPr>
              <w:pBdr>
                <w:top w:space="0" w:sz="0" w:val="nil"/>
                <w:left w:space="0" w:sz="0" w:val="nil"/>
                <w:bottom w:space="0" w:sz="0" w:val="nil"/>
                <w:right w:space="0" w:sz="0" w:val="nil"/>
                <w:between w:space="0" w:sz="0" w:val="nil"/>
              </w:pBdr>
              <w:tabs>
                <w:tab w:val="left" w:leader="none" w:pos="565"/>
              </w:tabs>
              <w:spacing w:after="60" w:before="60" w:lineRule="auto"/>
              <w:ind w:left="565" w:right="13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are supplied to the Supplier by or on behalf of the Authority; or</w:t>
            </w:r>
          </w:p>
          <w:p w:rsidR="00000000" w:rsidDel="00000000" w:rsidP="00000000" w:rsidRDefault="00000000" w:rsidRPr="00000000" w14:paraId="0000013D">
            <w:pPr>
              <w:numPr>
                <w:ilvl w:val="1"/>
                <w:numId w:val="25"/>
              </w:numPr>
              <w:pBdr>
                <w:top w:space="0" w:sz="0" w:val="nil"/>
                <w:left w:space="0" w:sz="0" w:val="nil"/>
                <w:bottom w:space="0" w:sz="0" w:val="nil"/>
                <w:right w:space="0" w:sz="0" w:val="nil"/>
                <w:between w:space="0" w:sz="0" w:val="nil"/>
              </w:pBdr>
              <w:tabs>
                <w:tab w:val="left" w:leader="none" w:pos="565"/>
              </w:tabs>
              <w:spacing w:after="60" w:before="60" w:lineRule="auto"/>
              <w:ind w:left="565" w:right="13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 is required to generate, process, store or transmit pursuant to a Contract; </w:t>
            </w:r>
          </w:p>
        </w:tc>
      </w:tr>
      <w:tr>
        <w:trPr>
          <w:cantSplit w:val="0"/>
          <w:tblHeader w:val="0"/>
        </w:trPr>
        <w:tc>
          <w:tcPr>
            <w:shd w:fill="auto" w:val="clea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“Guarantor”</w:t>
            </w:r>
          </w:p>
        </w:tc>
        <w:tc>
          <w:tcPr>
            <w:shd w:fill="auto" w:val="clear"/>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person (if any) who has entered into a guarantee in the form set out in Joint Schedule 8 (Guarantee) in relation to this Contract;</w:t>
            </w:r>
          </w:p>
        </w:tc>
      </w:tr>
      <w:tr>
        <w:trPr>
          <w:cantSplit w:val="0"/>
          <w:tblHeader w:val="0"/>
        </w:trPr>
        <w:tc>
          <w:tcPr>
            <w:shd w:fill="auto" w:val="clear"/>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“Halifax Abuse Principle”</w:t>
            </w:r>
          </w:p>
        </w:tc>
        <w:tc>
          <w:tcPr>
            <w:shd w:fill="auto" w:val="clear"/>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principle explained in the CJEU Case C-255/02 Halifax and others;</w:t>
            </w:r>
          </w:p>
        </w:tc>
      </w:tr>
      <w:tr>
        <w:trPr>
          <w:cantSplit w:val="0"/>
          <w:tblHeader w:val="0"/>
        </w:trPr>
        <w:tc>
          <w:tcPr>
            <w:shd w:fill="auto" w:val="clear"/>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“HMRC”</w:t>
            </w:r>
          </w:p>
        </w:tc>
        <w:tc>
          <w:tcPr>
            <w:shd w:fill="auto" w:val="clea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Her Majesty’s Revenue and Customs;</w:t>
            </w:r>
          </w:p>
        </w:tc>
      </w:tr>
      <w:tr>
        <w:trPr>
          <w:cantSplit w:val="0"/>
          <w:tblHeader w:val="0"/>
        </w:trPr>
        <w:tc>
          <w:tcPr>
            <w:shd w:fill="auto" w:val="clear"/>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“ICT Environment”</w:t>
            </w:r>
          </w:p>
        </w:tc>
        <w:tc>
          <w:tcPr>
            <w:shd w:fill="auto" w:val="clear"/>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“ICT Policy”</w:t>
            </w:r>
          </w:p>
        </w:tc>
        <w:tc>
          <w:tcPr>
            <w:shd w:fill="auto" w:val="clear"/>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shd w:fill="auto" w:val="clea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“Impact Assessment”</w:t>
            </w:r>
          </w:p>
        </w:tc>
        <w:tc>
          <w:tcPr>
            <w:shd w:fill="auto" w:val="clea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assessment of the impact of a Variation request by the Relevant Authority completed in good faith, including:</w:t>
            </w:r>
          </w:p>
          <w:p w:rsidR="00000000" w:rsidDel="00000000" w:rsidP="00000000" w:rsidRDefault="00000000" w:rsidRPr="00000000" w14:paraId="0000014A">
            <w:pPr>
              <w:numPr>
                <w:ilvl w:val="1"/>
                <w:numId w:val="5"/>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B">
            <w:pPr>
              <w:numPr>
                <w:ilvl w:val="1"/>
                <w:numId w:val="5"/>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details of the cost of implementing the proposed Variation;</w:t>
            </w:r>
          </w:p>
          <w:p w:rsidR="00000000" w:rsidDel="00000000" w:rsidP="00000000" w:rsidRDefault="00000000" w:rsidRPr="00000000" w14:paraId="0000014C">
            <w:pPr>
              <w:numPr>
                <w:ilvl w:val="1"/>
                <w:numId w:val="5"/>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D">
            <w:pPr>
              <w:numPr>
                <w:ilvl w:val="1"/>
                <w:numId w:val="5"/>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timetable for the implementation, together with any proposals for the testing of the Variation; and</w:t>
            </w:r>
          </w:p>
          <w:p w:rsidR="00000000" w:rsidDel="00000000" w:rsidP="00000000" w:rsidRDefault="00000000" w:rsidRPr="00000000" w14:paraId="0000014E">
            <w:pPr>
              <w:numPr>
                <w:ilvl w:val="1"/>
                <w:numId w:val="5"/>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such other information as the Relevant Authority may reasonably request in (or in response to) the Variation request;</w:t>
            </w:r>
          </w:p>
        </w:tc>
      </w:tr>
      <w:tr>
        <w:trPr>
          <w:cantSplit w:val="0"/>
          <w:tblHeader w:val="0"/>
        </w:trPr>
        <w:tc>
          <w:tcPr>
            <w:shd w:fill="auto" w:val="clear"/>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“Implant”</w:t>
            </w:r>
          </w:p>
        </w:tc>
        <w:tc>
          <w:tcPr>
            <w:shd w:fill="auto" w:val="clea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employee of the Supplier based at the Buyer Premises;</w:t>
            </w:r>
          </w:p>
        </w:tc>
      </w:tr>
      <w:tr>
        <w:trPr>
          <w:cantSplit w:val="0"/>
          <w:tblHeader w:val="0"/>
        </w:trPr>
        <w:tc>
          <w:tcPr>
            <w:shd w:fill="auto" w:val="clear"/>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“Implementation Plan”</w:t>
            </w:r>
          </w:p>
        </w:tc>
        <w:tc>
          <w:tcPr>
            <w:shd w:fill="auto" w:val="clea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plan for provision of the Deliverables set out or referred to in Call-Off Schedule 13 (Implementation Plan and Testing) where that Schedule is used or otherwise as agreed between the Supplier and the Buyer;</w:t>
            </w:r>
          </w:p>
        </w:tc>
      </w:tr>
      <w:tr>
        <w:trPr>
          <w:cantSplit w:val="0"/>
          <w:tblHeader w:val="0"/>
        </w:trPr>
        <w:tc>
          <w:tcPr>
            <w:shd w:fill="auto" w:val="clear"/>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“Indemnifier”</w:t>
            </w:r>
          </w:p>
        </w:tc>
        <w:tc>
          <w:tcPr>
            <w:shd w:fill="auto" w:val="clea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Party from whom an indemnity is sought under this Contract;</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“Independent Control”</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2"/>
                <w:szCs w:val="22"/>
                <w:rtl w:val="0"/>
              </w:rPr>
              <w:t xml:space="preserve">Independent Controller</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“Indexation”</w:t>
            </w:r>
          </w:p>
        </w:tc>
        <w:tc>
          <w:tcPr>
            <w:shd w:fill="auto" w:val="clea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adjustment of an amount or sum in accordance with Framework Schedule 3 (Framework Prices) and the relevant Order Form;</w:t>
            </w:r>
          </w:p>
        </w:tc>
      </w:tr>
      <w:tr>
        <w:trPr>
          <w:cantSplit w:val="0"/>
          <w:tblHeader w:val="0"/>
        </w:trPr>
        <w:tc>
          <w:tcPr>
            <w:shd w:fill="auto" w:val="clear"/>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“Information”</w:t>
            </w:r>
          </w:p>
        </w:tc>
        <w:tc>
          <w:tcPr>
            <w:shd w:fill="auto" w:val="clear"/>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under section 84 of the Freedom of Information Act 2000;</w:t>
            </w:r>
          </w:p>
        </w:tc>
      </w:tr>
      <w:tr>
        <w:trPr>
          <w:cantSplit w:val="0"/>
          <w:tblHeader w:val="0"/>
        </w:trPr>
        <w:tc>
          <w:tcPr>
            <w:shd w:fill="auto" w:val="clear"/>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“Information Commissioner”</w:t>
            </w:r>
          </w:p>
        </w:tc>
        <w:tc>
          <w:tcPr>
            <w:shd w:fill="auto" w:val="clear"/>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shd w:fill="auto" w:val="clear"/>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“Initial Period”</w:t>
            </w:r>
          </w:p>
        </w:tc>
        <w:tc>
          <w:tcPr>
            <w:shd w:fill="auto" w:val="clea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initial term of a Contract specified in the Framework Award Form or the Order Form, as the context requires;</w:t>
            </w:r>
          </w:p>
        </w:tc>
      </w:tr>
      <w:tr>
        <w:trPr>
          <w:cantSplit w:val="0"/>
          <w:tblHeader w:val="0"/>
        </w:trPr>
        <w:tc>
          <w:tcPr>
            <w:shd w:fill="auto" w:val="clea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“Insolvency Event”</w:t>
            </w:r>
          </w:p>
        </w:tc>
        <w:tc>
          <w:tcPr>
            <w:shd w:fill="auto" w:val="clea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with respect to any person, means:</w:t>
            </w:r>
          </w:p>
          <w:p w:rsidR="00000000" w:rsidDel="00000000" w:rsidP="00000000" w:rsidRDefault="00000000" w:rsidRPr="00000000" w14:paraId="0000016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576"/>
              </w:tabs>
              <w:spacing w:after="60" w:before="60" w:line="240" w:lineRule="auto"/>
              <w:ind w:left="707" w:right="134" w:hanging="56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162">
            <w:pPr>
              <w:numPr>
                <w:ilvl w:val="2"/>
                <w:numId w:val="26"/>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(being a company or a LLP) is deemed unable to pay its debts within the meaning of section 123 of the Insolvency Act 1986; or</w:t>
            </w:r>
          </w:p>
          <w:p w:rsidR="00000000" w:rsidDel="00000000" w:rsidP="00000000" w:rsidRDefault="00000000" w:rsidRPr="00000000" w14:paraId="00000163">
            <w:pPr>
              <w:numPr>
                <w:ilvl w:val="2"/>
                <w:numId w:val="26"/>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(being a partnership) is deemed unable to pay its debts within the meaning of section 222 of the Insolvency Act 1986;</w:t>
            </w:r>
          </w:p>
          <w:p w:rsidR="00000000" w:rsidDel="00000000" w:rsidP="00000000" w:rsidRDefault="00000000" w:rsidRPr="00000000" w14:paraId="00000164">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5">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another person becomes entitled to appoint a receiver over the assets of that person or a receiver is appointed over the assets of that person;</w:t>
            </w:r>
          </w:p>
          <w:p w:rsidR="00000000" w:rsidDel="00000000" w:rsidP="00000000" w:rsidRDefault="00000000" w:rsidRPr="00000000" w14:paraId="00000166">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7">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that person suspends or ceases, or threatens to suspend or cease, carrying on all or a substantial part of its business;</w:t>
            </w:r>
          </w:p>
          <w:p w:rsidR="00000000" w:rsidDel="00000000" w:rsidP="00000000" w:rsidRDefault="00000000" w:rsidRPr="00000000" w14:paraId="00000168">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where that person is a company, a LLP or a partnership:</w:t>
            </w:r>
          </w:p>
          <w:p w:rsidR="00000000" w:rsidDel="00000000" w:rsidP="00000000" w:rsidRDefault="00000000" w:rsidRPr="00000000" w14:paraId="00000169">
            <w:pPr>
              <w:numPr>
                <w:ilvl w:val="2"/>
                <w:numId w:val="8"/>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1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A">
            <w:pPr>
              <w:numPr>
                <w:ilvl w:val="2"/>
                <w:numId w:val="8"/>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1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B">
            <w:pPr>
              <w:numPr>
                <w:ilvl w:val="2"/>
                <w:numId w:val="8"/>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1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C">
            <w:pPr>
              <w:numPr>
                <w:ilvl w:val="2"/>
                <w:numId w:val="8"/>
              </w:numPr>
              <w:pBdr>
                <w:top w:space="0" w:sz="0" w:val="nil"/>
                <w:left w:space="0" w:sz="0" w:val="nil"/>
                <w:bottom w:space="0" w:sz="0" w:val="nil"/>
                <w:right w:space="0" w:sz="0" w:val="nil"/>
                <w:between w:space="0" w:sz="0" w:val="nil"/>
              </w:pBdr>
              <w:tabs>
                <w:tab w:val="left" w:leader="none" w:pos="1132"/>
              </w:tabs>
              <w:spacing w:after="60" w:before="60" w:lineRule="auto"/>
              <w:ind w:left="1132" w:right="134" w:hanging="41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D">
            <w:pPr>
              <w:numPr>
                <w:ilvl w:val="1"/>
                <w:numId w:val="6"/>
              </w:numPr>
              <w:pBdr>
                <w:top w:space="0" w:sz="0" w:val="nil"/>
                <w:left w:space="0" w:sz="0" w:val="nil"/>
                <w:bottom w:space="0" w:sz="0" w:val="nil"/>
                <w:right w:space="0" w:sz="0" w:val="nil"/>
                <w:between w:space="0" w:sz="0" w:val="nil"/>
              </w:pBdr>
              <w:tabs>
                <w:tab w:val="left" w:leader="none" w:pos="-576"/>
              </w:tabs>
              <w:spacing w:after="60" w:before="60" w:lineRule="auto"/>
              <w:ind w:left="708" w:right="13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event occurs, or proceeding is taken, with respect to that person in any jurisdiction to which it is subject that has an effect equivalent or similar to any of the events mentioned above;</w:t>
            </w:r>
          </w:p>
        </w:tc>
      </w:tr>
      <w:tr>
        <w:trPr>
          <w:cantSplit w:val="0"/>
          <w:tblHeader w:val="0"/>
        </w:trPr>
        <w:tc>
          <w:tcPr>
            <w:shd w:fill="auto" w:val="cle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“Intellectual Property Rights” or “IPR”</w:t>
            </w:r>
          </w:p>
        </w:tc>
        <w:tc>
          <w:tcPr>
            <w:shd w:fill="auto" w:val="clear"/>
          </w:tcPr>
          <w:p w:rsidR="00000000" w:rsidDel="00000000" w:rsidP="00000000" w:rsidRDefault="00000000" w:rsidRPr="00000000" w14:paraId="0000016F">
            <w:pPr>
              <w:numPr>
                <w:ilvl w:val="1"/>
                <w:numId w:val="11"/>
              </w:numPr>
              <w:pBdr>
                <w:top w:space="0" w:sz="0" w:val="nil"/>
                <w:left w:space="0" w:sz="0" w:val="nil"/>
                <w:bottom w:space="0" w:sz="0" w:val="nil"/>
                <w:right w:space="0" w:sz="0" w:val="nil"/>
                <w:between w:space="0" w:sz="0" w:val="nil"/>
              </w:pBdr>
              <w:tabs>
                <w:tab w:val="left" w:leader="none" w:pos="-576"/>
              </w:tabs>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000000" w:rsidDel="00000000" w:rsidP="00000000" w:rsidRDefault="00000000" w:rsidRPr="00000000" w14:paraId="00000170">
            <w:pPr>
              <w:numPr>
                <w:ilvl w:val="1"/>
                <w:numId w:val="11"/>
              </w:numPr>
              <w:pBdr>
                <w:top w:space="0" w:sz="0" w:val="nil"/>
                <w:left w:space="0" w:sz="0" w:val="nil"/>
                <w:bottom w:space="0" w:sz="0" w:val="nil"/>
                <w:right w:space="0" w:sz="0" w:val="nil"/>
                <w:between w:space="0" w:sz="0" w:val="nil"/>
              </w:pBdr>
              <w:tabs>
                <w:tab w:val="left" w:leader="none" w:pos="-576"/>
              </w:tabs>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1">
            <w:pPr>
              <w:numPr>
                <w:ilvl w:val="1"/>
                <w:numId w:val="11"/>
              </w:numPr>
              <w:pBdr>
                <w:top w:space="0" w:sz="0" w:val="nil"/>
                <w:left w:space="0" w:sz="0" w:val="nil"/>
                <w:bottom w:space="0" w:sz="0" w:val="nil"/>
                <w:right w:space="0" w:sz="0" w:val="nil"/>
                <w:between w:space="0" w:sz="0" w:val="nil"/>
              </w:pBdr>
              <w:tabs>
                <w:tab w:val="left" w:leader="none" w:pos="-576"/>
              </w:tabs>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other rights having equivalent or similar effect in any country or jurisdiction;</w:t>
            </w:r>
          </w:p>
        </w:tc>
      </w:tr>
      <w:tr>
        <w:trPr>
          <w:cantSplit w:val="0"/>
          <w:tblHeader w:val="0"/>
        </w:trPr>
        <w:tc>
          <w:tcPr>
            <w:shd w:fill="auto" w:val="clear"/>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“IPR Claim”</w:t>
            </w:r>
          </w:p>
        </w:tc>
        <w:tc>
          <w:tcPr>
            <w:shd w:fill="auto" w:val="clear"/>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shd w:fill="auto" w:val="clear"/>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“IR35”</w:t>
            </w:r>
          </w:p>
        </w:tc>
        <w:tc>
          <w:tcPr>
            <w:shd w:fill="auto" w:val="clear"/>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2"/>
                  <w:szCs w:val="22"/>
                  <w:u w:val="single"/>
                  <w:rtl w:val="0"/>
                </w:rPr>
                <w:t xml:space="preserve">https://www.gov.uk/guidance/ir35-find-out-if-it-applies</w:t>
              </w:r>
            </w:hyperlink>
            <w:r w:rsidDel="00000000" w:rsidR="00000000" w:rsidRPr="00000000">
              <w:rPr>
                <w:rFonts w:ascii="Arial" w:cs="Arial" w:eastAsia="Arial" w:hAnsi="Arial"/>
                <w:color w:val="000000"/>
                <w:sz w:val="22"/>
                <w:szCs w:val="22"/>
                <w:rtl w:val="0"/>
              </w:rPr>
              <w:t xml:space="preserve">;</w:t>
            </w:r>
          </w:p>
        </w:tc>
      </w:tr>
      <w:tr>
        <w:trPr>
          <w:cantSplit w:val="0"/>
          <w:tblHeader w:val="0"/>
        </w:trPr>
        <w:tc>
          <w:tcPr>
            <w:shd w:fill="auto" w:val="clear"/>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“Joint Controller Agreement”</w:t>
            </w:r>
          </w:p>
        </w:tc>
        <w:tc>
          <w:tcPr>
            <w:shd w:fill="auto" w:val="clear"/>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2"/>
                <w:szCs w:val="22"/>
                <w:rtl w:val="0"/>
              </w:rPr>
              <w:t xml:space="preserve">Processing Data</w:t>
            </w:r>
            <w:r w:rsidDel="00000000" w:rsidR="00000000" w:rsidRPr="00000000">
              <w:rPr>
                <w:rFonts w:ascii="Arial" w:cs="Arial" w:eastAsia="Arial" w:hAnsi="Arial"/>
                <w:color w:val="000000"/>
                <w:sz w:val="22"/>
                <w:szCs w:val="22"/>
                <w:rtl w:val="0"/>
              </w:rPr>
              <w:t xml:space="preserve">);</w:t>
            </w:r>
          </w:p>
        </w:tc>
      </w:tr>
      <w:tr>
        <w:trPr>
          <w:cantSplit w:val="0"/>
          <w:tblHeader w:val="0"/>
        </w:trPr>
        <w:tc>
          <w:tcPr>
            <w:shd w:fill="auto" w:val="clear"/>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“Joint Controllers”</w:t>
            </w:r>
          </w:p>
        </w:tc>
        <w:tc>
          <w:tcPr>
            <w:shd w:fill="auto" w:val="clear"/>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where two or more Controllers jointly determine the purposes and means of Processing;</w:t>
            </w:r>
          </w:p>
        </w:tc>
      </w:tr>
      <w:tr>
        <w:trPr>
          <w:cantSplit w:val="0"/>
          <w:tblHeader w:val="0"/>
        </w:trPr>
        <w:tc>
          <w:tcPr>
            <w:shd w:fill="auto" w:val="clea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“Key Staff”</w:t>
            </w:r>
          </w:p>
        </w:tc>
        <w:tc>
          <w:tcPr>
            <w:shd w:fill="auto" w:val="clear"/>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individuals (if any) identified as such in the Order Form;</w:t>
            </w:r>
          </w:p>
        </w:tc>
      </w:tr>
      <w:tr>
        <w:trPr>
          <w:cantSplit w:val="0"/>
          <w:trHeight w:val="357" w:hRule="atLeast"/>
          <w:tblHeader w:val="0"/>
        </w:trPr>
        <w:tc>
          <w:tcPr>
            <w:shd w:fill="auto" w:val="clea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“Key Sub-Contract”</w:t>
            </w:r>
          </w:p>
        </w:tc>
        <w:tc>
          <w:tcPr>
            <w:shd w:fill="auto" w:val="clear"/>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each Sub-Contract with a Key Subcontractor;</w:t>
            </w:r>
          </w:p>
        </w:tc>
      </w:tr>
      <w:tr>
        <w:trPr>
          <w:cantSplit w:val="0"/>
          <w:trHeight w:val="426" w:hRule="atLeast"/>
          <w:tblHeader w:val="0"/>
        </w:trPr>
        <w:tc>
          <w:tcPr>
            <w:shd w:fill="auto" w:val="clear"/>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“Key Subcontractor”</w:t>
            </w:r>
          </w:p>
        </w:tc>
        <w:tc>
          <w:tcPr>
            <w:shd w:fill="auto" w:val="clear"/>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Subcontractor:</w:t>
            </w:r>
          </w:p>
          <w:p w:rsidR="00000000" w:rsidDel="00000000" w:rsidP="00000000" w:rsidRDefault="00000000" w:rsidRPr="00000000" w14:paraId="00000180">
            <w:pPr>
              <w:numPr>
                <w:ilvl w:val="1"/>
                <w:numId w:val="9"/>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which is relied upon to deliver any work package within the Deliverables in their entirety; and/or</w:t>
            </w:r>
          </w:p>
          <w:p w:rsidR="00000000" w:rsidDel="00000000" w:rsidP="00000000" w:rsidRDefault="00000000" w:rsidRPr="00000000" w14:paraId="00000181">
            <w:pPr>
              <w:numPr>
                <w:ilvl w:val="1"/>
                <w:numId w:val="9"/>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2">
            <w:pPr>
              <w:numPr>
                <w:ilvl w:val="1"/>
                <w:numId w:val="9"/>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576"/>
              </w:tabs>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and the Supplier shall list all such Key Subcontractors in section 21 of the Framework Award Form and in the Key Subcontractor section in the Order Form;</w:t>
            </w:r>
          </w:p>
        </w:tc>
      </w:tr>
      <w:tr>
        <w:trPr>
          <w:cantSplit w:val="0"/>
          <w:tblHeader w:val="0"/>
        </w:trPr>
        <w:tc>
          <w:tcPr>
            <w:shd w:fill="auto" w:val="clear"/>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“Know-How”</w:t>
            </w:r>
          </w:p>
        </w:tc>
        <w:tc>
          <w:tcPr>
            <w:shd w:fill="auto" w:val="clear"/>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shd w:fill="auto" w:val="clear"/>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“Law”</w:t>
            </w:r>
          </w:p>
        </w:tc>
        <w:tc>
          <w:tcPr>
            <w:shd w:fill="auto" w:val="clear"/>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shd w:fill="auto" w:val="clear"/>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“Losses”</w:t>
            </w:r>
          </w:p>
        </w:tc>
        <w:tc>
          <w:tcPr>
            <w:shd w:fill="auto" w:val="clea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2"/>
                <w:szCs w:val="22"/>
                <w:rtl w:val="0"/>
              </w:rPr>
              <w:t xml:space="preserve">Loss</w:t>
            </w:r>
            <w:r w:rsidDel="00000000" w:rsidR="00000000" w:rsidRPr="00000000">
              <w:rPr>
                <w:rFonts w:ascii="Arial" w:cs="Arial" w:eastAsia="Arial" w:hAnsi="Arial"/>
                <w:color w:val="000000"/>
                <w:sz w:val="22"/>
                <w:szCs w:val="22"/>
                <w:rtl w:val="0"/>
              </w:rPr>
              <w:t xml:space="preserve">” shall be interpreted accordingly;</w:t>
            </w:r>
          </w:p>
        </w:tc>
      </w:tr>
      <w:tr>
        <w:trPr>
          <w:cantSplit w:val="0"/>
          <w:tblHeader w:val="0"/>
        </w:trPr>
        <w:tc>
          <w:tcPr>
            <w:shd w:fill="auto" w:val="clear"/>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“Lots”</w:t>
            </w:r>
          </w:p>
        </w:tc>
        <w:tc>
          <w:tcPr>
            <w:shd w:fill="auto" w:val="clea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number of lots specified in, as applicable, Framework Schedule 1 (Specification) or Call-Off Schedule 20 (Call-Off Specification);</w:t>
            </w:r>
          </w:p>
        </w:tc>
      </w:tr>
      <w:tr>
        <w:trPr>
          <w:cantSplit w:val="0"/>
          <w:tblHeader w:val="0"/>
        </w:trPr>
        <w:tc>
          <w:tcPr>
            <w:shd w:fill="auto" w:val="clear"/>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“Management Charge”</w:t>
            </w:r>
          </w:p>
        </w:tc>
        <w:tc>
          <w:tcPr>
            <w:shd w:fill="auto" w:val="clea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sum specified in the Framework Award Form payable by the Supplier to CCS in accordance with Framework Schedule 5 (Management Charges and Information);</w:t>
            </w:r>
          </w:p>
        </w:tc>
      </w:tr>
      <w:tr>
        <w:trPr>
          <w:cantSplit w:val="0"/>
          <w:tblHeader w:val="0"/>
        </w:trPr>
        <w:tc>
          <w:tcPr>
            <w:shd w:fill="auto" w:val="clea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“Management Information” or “MI”</w:t>
            </w:r>
          </w:p>
        </w:tc>
        <w:tc>
          <w:tcPr>
            <w:shd w:fill="auto" w:val="clea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management information specified in Framework Schedule 5 (Management Charges and Information);</w:t>
            </w:r>
          </w:p>
        </w:tc>
      </w:tr>
      <w:tr>
        <w:trPr>
          <w:cantSplit w:val="0"/>
          <w:tblHeader w:val="0"/>
        </w:trPr>
        <w:tc>
          <w:tcPr>
            <w:shd w:fill="auto" w:val="clea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 Default”</w:t>
            </w:r>
          </w:p>
        </w:tc>
        <w:tc>
          <w:tcPr>
            <w:shd w:fill="auto" w:val="clea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222222"/>
                <w:sz w:val="22"/>
                <w:szCs w:val="22"/>
                <w:rtl w:val="0"/>
              </w:rPr>
              <w:t xml:space="preserve">means when</w:t>
            </w:r>
            <w:r w:rsidDel="00000000" w:rsidR="00000000" w:rsidRPr="00000000">
              <w:rPr>
                <w:rFonts w:ascii="Arial" w:cs="Arial" w:eastAsia="Arial" w:hAnsi="Arial"/>
                <w:b w:val="1"/>
                <w:color w:val="222222"/>
                <w:sz w:val="22"/>
                <w:szCs w:val="22"/>
                <w:rtl w:val="0"/>
              </w:rPr>
              <w:t xml:space="preserve"> </w:t>
            </w:r>
            <w:r w:rsidDel="00000000" w:rsidR="00000000" w:rsidRPr="00000000">
              <w:rPr>
                <w:rFonts w:ascii="Arial" w:cs="Arial" w:eastAsia="Arial" w:hAnsi="Arial"/>
                <w:color w:val="000000"/>
                <w:sz w:val="22"/>
                <w:szCs w:val="22"/>
                <w:rtl w:val="0"/>
              </w:rPr>
              <w:t xml:space="preserve">two (2) MI Reports are not provided in any rolling six (6) month period;</w:t>
            </w:r>
          </w:p>
        </w:tc>
      </w:tr>
      <w:tr>
        <w:trPr>
          <w:cantSplit w:val="0"/>
          <w:tblHeader w:val="0"/>
        </w:trPr>
        <w:tc>
          <w:tcPr>
            <w:shd w:fill="auto" w:val="clear"/>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 Failure”</w:t>
            </w:r>
          </w:p>
        </w:tc>
        <w:tc>
          <w:tcPr>
            <w:shd w:fill="auto" w:val="clea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when an MI report:</w:t>
            </w:r>
          </w:p>
          <w:p w:rsidR="00000000" w:rsidDel="00000000" w:rsidP="00000000" w:rsidRDefault="00000000" w:rsidRPr="00000000" w14:paraId="00000194">
            <w:pPr>
              <w:numPr>
                <w:ilvl w:val="1"/>
                <w:numId w:val="14"/>
              </w:numPr>
              <w:pBdr>
                <w:top w:space="0" w:sz="0" w:val="nil"/>
                <w:left w:space="0" w:sz="0" w:val="nil"/>
                <w:bottom w:space="0" w:sz="0" w:val="nil"/>
                <w:right w:space="0" w:sz="0" w:val="nil"/>
                <w:between w:space="0" w:sz="0" w:val="nil"/>
              </w:pBdr>
              <w:tabs>
                <w:tab w:val="left" w:leader="none" w:pos="707"/>
              </w:tabs>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contains any material errors or material omissions or a missing mandatory field; or  </w:t>
            </w:r>
          </w:p>
          <w:p w:rsidR="00000000" w:rsidDel="00000000" w:rsidP="00000000" w:rsidRDefault="00000000" w:rsidRPr="00000000" w14:paraId="00000195">
            <w:pPr>
              <w:numPr>
                <w:ilvl w:val="1"/>
                <w:numId w:val="14"/>
              </w:numPr>
              <w:pBdr>
                <w:top w:space="0" w:sz="0" w:val="nil"/>
                <w:left w:space="0" w:sz="0" w:val="nil"/>
                <w:bottom w:space="0" w:sz="0" w:val="nil"/>
                <w:right w:space="0" w:sz="0" w:val="nil"/>
                <w:between w:space="0" w:sz="0" w:val="nil"/>
              </w:pBdr>
              <w:tabs>
                <w:tab w:val="left" w:leader="none" w:pos="707"/>
              </w:tabs>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is submitted using an incorrect MI reporting Template; or</w:t>
            </w:r>
          </w:p>
          <w:p w:rsidR="00000000" w:rsidDel="00000000" w:rsidP="00000000" w:rsidRDefault="00000000" w:rsidRPr="00000000" w14:paraId="00000196">
            <w:pPr>
              <w:numPr>
                <w:ilvl w:val="1"/>
                <w:numId w:val="14"/>
              </w:numPr>
              <w:pBdr>
                <w:top w:space="0" w:sz="0" w:val="nil"/>
                <w:left w:space="0" w:sz="0" w:val="nil"/>
                <w:bottom w:space="0" w:sz="0" w:val="nil"/>
                <w:right w:space="0" w:sz="0" w:val="nil"/>
                <w:between w:space="0" w:sz="0" w:val="nil"/>
              </w:pBdr>
              <w:tabs>
                <w:tab w:val="left" w:leader="none" w:pos="707"/>
              </w:tabs>
              <w:spacing w:after="60" w:before="60" w:lineRule="auto"/>
              <w:ind w:left="707" w:right="144" w:hanging="533"/>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is not submitted by the reporting date (including where a declaration of no business should have been filed);</w:t>
            </w:r>
          </w:p>
        </w:tc>
      </w:tr>
      <w:tr>
        <w:trPr>
          <w:cantSplit w:val="0"/>
          <w:tblHeader w:val="0"/>
        </w:trPr>
        <w:tc>
          <w:tcPr>
            <w:shd w:fill="auto" w:val="clea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 Report”</w:t>
            </w:r>
          </w:p>
        </w:tc>
        <w:tc>
          <w:tcPr>
            <w:shd w:fill="auto" w:val="clear"/>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a report containing Management Information submitted to the Authority in accordance with Framework Schedule 5 (Management Charges and Information);</w:t>
            </w:r>
          </w:p>
        </w:tc>
      </w:tr>
      <w:tr>
        <w:trPr>
          <w:cantSplit w:val="0"/>
          <w:tblHeader w:val="0"/>
        </w:trPr>
        <w:tc>
          <w:tcPr>
            <w:shd w:fill="auto" w:val="clea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 Reporting Template”</w:t>
            </w:r>
          </w:p>
        </w:tc>
        <w:tc>
          <w:tcPr>
            <w:shd w:fill="auto" w:val="clear"/>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shd w:fill="auto" w:val="clea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“Milestone”</w:t>
            </w:r>
          </w:p>
        </w:tc>
        <w:tc>
          <w:tcPr>
            <w:shd w:fill="auto" w:val="clear"/>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event or task described in the Implementation Plan;</w:t>
            </w:r>
          </w:p>
        </w:tc>
      </w:tr>
      <w:tr>
        <w:trPr>
          <w:cantSplit w:val="0"/>
          <w:tblHeader w:val="0"/>
        </w:trPr>
        <w:tc>
          <w:tcPr>
            <w:shd w:fill="auto" w:val="clea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“Milestone Date”</w:t>
            </w:r>
          </w:p>
        </w:tc>
        <w:tc>
          <w:tcPr>
            <w:shd w:fill="auto" w:val="clear"/>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target date set out against the relevant Milestone in the Implementation Plan by which the Milestone must be Achieved;</w:t>
            </w:r>
          </w:p>
        </w:tc>
      </w:tr>
      <w:tr>
        <w:trPr>
          <w:cantSplit w:val="0"/>
          <w:tblHeader w:val="0"/>
        </w:trPr>
        <w:tc>
          <w:tcPr>
            <w:shd w:fill="auto" w:val="clear"/>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“Month”</w:t>
            </w:r>
          </w:p>
        </w:tc>
        <w:tc>
          <w:tcPr>
            <w:shd w:fill="auto" w:val="clear"/>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calendar month and “</w:t>
            </w:r>
            <w:r w:rsidDel="00000000" w:rsidR="00000000" w:rsidRPr="00000000">
              <w:rPr>
                <w:rFonts w:ascii="Arial" w:cs="Arial" w:eastAsia="Arial" w:hAnsi="Arial"/>
                <w:b w:val="1"/>
                <w:color w:val="000000"/>
                <w:sz w:val="22"/>
                <w:szCs w:val="22"/>
                <w:rtl w:val="0"/>
              </w:rPr>
              <w:t xml:space="preserve">Monthly</w:t>
            </w:r>
            <w:r w:rsidDel="00000000" w:rsidR="00000000" w:rsidRPr="00000000">
              <w:rPr>
                <w:rFonts w:ascii="Arial" w:cs="Arial" w:eastAsia="Arial" w:hAnsi="Arial"/>
                <w:color w:val="000000"/>
                <w:sz w:val="22"/>
                <w:szCs w:val="22"/>
                <w:rtl w:val="0"/>
              </w:rPr>
              <w:t xml:space="preserve">” shall be interpreted accordingly;</w:t>
            </w:r>
          </w:p>
        </w:tc>
      </w:tr>
      <w:tr>
        <w:trPr>
          <w:cantSplit w:val="0"/>
          <w:tblHeader w:val="0"/>
        </w:trPr>
        <w:tc>
          <w:tcPr>
            <w:shd w:fill="auto" w:val="clear"/>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“National Insurance”</w:t>
            </w:r>
          </w:p>
        </w:tc>
        <w:tc>
          <w:tcPr>
            <w:shd w:fill="auto" w:val="clear"/>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shd w:fill="auto" w:val="clea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“New IPR”</w:t>
            </w:r>
          </w:p>
        </w:tc>
        <w:tc>
          <w:tcPr>
            <w:shd w:fill="auto" w:val="clear"/>
          </w:tcPr>
          <w:p w:rsidR="00000000" w:rsidDel="00000000" w:rsidP="00000000" w:rsidRDefault="00000000" w:rsidRPr="00000000" w14:paraId="000001A4">
            <w:pPr>
              <w:numPr>
                <w:ilvl w:val="1"/>
                <w:numId w:val="27"/>
              </w:numPr>
              <w:pBdr>
                <w:top w:space="0" w:sz="0" w:val="nil"/>
                <w:left w:space="0" w:sz="0" w:val="nil"/>
                <w:bottom w:space="0" w:sz="0" w:val="nil"/>
                <w:right w:space="0" w:sz="0" w:val="nil"/>
                <w:between w:space="0" w:sz="0" w:val="nil"/>
              </w:pBdr>
              <w:tabs>
                <w:tab w:val="left" w:leader="none" w:pos="707"/>
              </w:tabs>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5">
            <w:pPr>
              <w:numPr>
                <w:ilvl w:val="1"/>
                <w:numId w:val="27"/>
              </w:numPr>
              <w:pBdr>
                <w:top w:space="0" w:sz="0" w:val="nil"/>
                <w:left w:space="0" w:sz="0" w:val="nil"/>
                <w:bottom w:space="0" w:sz="0" w:val="nil"/>
                <w:right w:space="0" w:sz="0" w:val="nil"/>
                <w:between w:space="0" w:sz="0" w:val="nil"/>
              </w:pBdr>
              <w:tabs>
                <w:tab w:val="left" w:leader="none" w:pos="707"/>
              </w:tabs>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707"/>
              </w:tabs>
              <w:spacing w:after="60" w:before="60" w:lineRule="auto"/>
              <w:ind w:left="174" w:right="135"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but shall not include the Supplier’s Existing IPR;</w:t>
            </w:r>
          </w:p>
        </w:tc>
      </w:tr>
      <w:tr>
        <w:trPr>
          <w:cantSplit w:val="0"/>
          <w:tblHeader w:val="0"/>
        </w:trPr>
        <w:tc>
          <w:tcPr>
            <w:shd w:fill="auto" w:val="clea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“Occasion of Tax Non–Compliance”</w:t>
            </w:r>
          </w:p>
        </w:tc>
        <w:tc>
          <w:tcPr>
            <w:shd w:fill="auto" w:val="clear"/>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where: </w:t>
            </w:r>
          </w:p>
          <w:p w:rsidR="00000000" w:rsidDel="00000000" w:rsidP="00000000" w:rsidRDefault="00000000" w:rsidRPr="00000000" w14:paraId="000001A9">
            <w:pPr>
              <w:numPr>
                <w:ilvl w:val="1"/>
                <w:numId w:val="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A">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B">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C">
            <w:pPr>
              <w:numPr>
                <w:ilvl w:val="1"/>
                <w:numId w:val="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shd w:fill="auto" w:val="clear"/>
          </w:tcPr>
          <w:p w:rsidR="00000000" w:rsidDel="00000000" w:rsidP="00000000" w:rsidRDefault="00000000" w:rsidRPr="00000000" w14:paraId="000001AD">
            <w:pP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“Offline Booking Solution“</w:t>
            </w:r>
          </w:p>
        </w:tc>
        <w:tc>
          <w:tcPr>
            <w:shd w:fill="auto" w:val="clear"/>
          </w:tcPr>
          <w:p w:rsidR="00000000" w:rsidDel="00000000" w:rsidP="00000000" w:rsidRDefault="00000000" w:rsidRPr="00000000" w14:paraId="000001AE">
            <w:pP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Supplier’s offline solution for the delivery of the Services in accordance with </w:t>
            </w:r>
            <w:r w:rsidDel="00000000" w:rsidR="00000000" w:rsidRPr="00000000">
              <w:rPr>
                <w:rFonts w:ascii="Arial" w:cs="Arial" w:eastAsia="Arial" w:hAnsi="Arial"/>
                <w:color w:val="000000"/>
                <w:sz w:val="22"/>
                <w:szCs w:val="22"/>
                <w:rtl w:val="0"/>
              </w:rPr>
              <w:t xml:space="preserve">Call-Off Schedule 20 (Call-Off Specification) </w:t>
            </w:r>
            <w:r w:rsidDel="00000000" w:rsidR="00000000" w:rsidRPr="00000000">
              <w:rPr>
                <w:rFonts w:ascii="Arial" w:cs="Arial" w:eastAsia="Arial" w:hAnsi="Arial"/>
                <w:color w:val="000000"/>
                <w:sz w:val="22"/>
                <w:szCs w:val="22"/>
                <w:rtl w:val="0"/>
              </w:rPr>
              <w:t xml:space="preserve">or Framework Schedule 1 (Specification), as the context requires and the relevant Call-Off </w:t>
            </w:r>
            <w:r w:rsidDel="00000000" w:rsidR="00000000" w:rsidRPr="00000000">
              <w:rPr>
                <w:rFonts w:ascii="Arial" w:cs="Arial" w:eastAsia="Arial" w:hAnsi="Arial"/>
                <w:sz w:val="22"/>
                <w:szCs w:val="22"/>
                <w:rtl w:val="0"/>
              </w:rPr>
              <w:t xml:space="preserve">Contract;</w:t>
            </w:r>
          </w:p>
        </w:tc>
      </w:tr>
      <w:tr>
        <w:trPr>
          <w:cantSplit w:val="0"/>
          <w:tblHeader w:val="0"/>
        </w:trPr>
        <w:tc>
          <w:tcPr>
            <w:shd w:fill="auto" w:val="clear"/>
          </w:tcPr>
          <w:p w:rsidR="00000000" w:rsidDel="00000000" w:rsidP="00000000" w:rsidRDefault="00000000" w:rsidRPr="00000000" w14:paraId="000001AF">
            <w:pPr>
              <w:spacing w:after="60" w:before="60" w:lineRule="auto"/>
              <w:ind w:left="142" w:right="27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“Online Booking Solution”</w:t>
            </w:r>
          </w:p>
        </w:tc>
        <w:tc>
          <w:tcPr>
            <w:shd w:fill="auto" w:val="clear"/>
          </w:tcPr>
          <w:p w:rsidR="00000000" w:rsidDel="00000000" w:rsidP="00000000" w:rsidRDefault="00000000" w:rsidRPr="00000000" w14:paraId="000001B0">
            <w:pPr>
              <w:spacing w:after="60" w:before="60" w:lineRule="auto"/>
              <w:ind w:left="140" w:right="144"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the Supplier’s o</w:t>
            </w:r>
            <w:r w:rsidDel="00000000" w:rsidR="00000000" w:rsidRPr="00000000">
              <w:rPr>
                <w:rFonts w:ascii="Arial" w:cs="Arial" w:eastAsia="Arial" w:hAnsi="Arial"/>
                <w:sz w:val="22"/>
                <w:szCs w:val="22"/>
                <w:rtl w:val="0"/>
              </w:rPr>
              <w:t xml:space="preserve">n</w:t>
            </w:r>
            <w:r w:rsidDel="00000000" w:rsidR="00000000" w:rsidRPr="00000000">
              <w:rPr>
                <w:rFonts w:ascii="Arial" w:cs="Arial" w:eastAsia="Arial" w:hAnsi="Arial"/>
                <w:color w:val="000000"/>
                <w:sz w:val="22"/>
                <w:szCs w:val="22"/>
                <w:rtl w:val="0"/>
              </w:rPr>
              <w:t xml:space="preserve">line solution for the delivery of the Services in accordance with </w:t>
            </w:r>
            <w:r w:rsidDel="00000000" w:rsidR="00000000" w:rsidRPr="00000000">
              <w:rPr>
                <w:rFonts w:ascii="Arial" w:cs="Arial" w:eastAsia="Arial" w:hAnsi="Arial"/>
                <w:color w:val="000000"/>
                <w:sz w:val="22"/>
                <w:szCs w:val="22"/>
                <w:rtl w:val="0"/>
              </w:rPr>
              <w:t xml:space="preserve">Call-Off Schedule 20 (Call-Off Specification)</w:t>
            </w:r>
            <w:r w:rsidDel="00000000" w:rsidR="00000000" w:rsidRPr="00000000">
              <w:rPr>
                <w:rFonts w:ascii="Arial" w:cs="Arial" w:eastAsia="Arial" w:hAnsi="Arial"/>
                <w:color w:val="000000"/>
                <w:sz w:val="22"/>
                <w:szCs w:val="22"/>
                <w:rtl w:val="0"/>
              </w:rPr>
              <w:t xml:space="preserve"> or Framework Schedule 1 (Specification), as the context requires and the relevant Call-Off </w:t>
            </w:r>
            <w:r w:rsidDel="00000000" w:rsidR="00000000" w:rsidRPr="00000000">
              <w:rPr>
                <w:rFonts w:ascii="Arial" w:cs="Arial" w:eastAsia="Arial" w:hAnsi="Arial"/>
                <w:sz w:val="22"/>
                <w:szCs w:val="22"/>
                <w:rtl w:val="0"/>
              </w:rPr>
              <w:t xml:space="preserve">Contract; </w:t>
            </w:r>
          </w:p>
        </w:tc>
      </w:tr>
      <w:tr>
        <w:trPr>
          <w:cantSplit w:val="0"/>
          <w:tblHeader w:val="0"/>
        </w:trPr>
        <w:tc>
          <w:tcPr>
            <w:shd w:fill="auto" w:val="clear"/>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“Open Book Data”</w:t>
            </w:r>
          </w:p>
        </w:tc>
        <w:tc>
          <w:tcPr>
            <w:shd w:fill="auto" w:val="clea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3">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Supplier’s Costs broken down against each Service and/or Deliverable, including actual capital expenditure (including capital replacement costs) and the unit cost and total actual costs of all Deliverables;</w:t>
            </w:r>
          </w:p>
          <w:p w:rsidR="00000000" w:rsidDel="00000000" w:rsidP="00000000" w:rsidRDefault="00000000" w:rsidRPr="00000000" w14:paraId="000001B4">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expenditure relating to the provision of the Deliverables including an analysis showing:</w:t>
            </w:r>
          </w:p>
          <w:p w:rsidR="00000000" w:rsidDel="00000000" w:rsidP="00000000" w:rsidRDefault="00000000" w:rsidRPr="00000000" w14:paraId="000001B5">
            <w:pPr>
              <w:numPr>
                <w:ilvl w:val="2"/>
                <w:numId w:val="28"/>
              </w:numPr>
              <w:pBdr>
                <w:top w:space="0" w:sz="0" w:val="nil"/>
                <w:left w:space="0" w:sz="0" w:val="nil"/>
                <w:bottom w:space="0" w:sz="0" w:val="nil"/>
                <w:right w:space="0" w:sz="0" w:val="nil"/>
                <w:between w:space="0" w:sz="0" w:val="nil"/>
              </w:pBdr>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unit costs and quantity of consumables and bought-in Deliverables;</w:t>
            </w:r>
          </w:p>
          <w:p w:rsidR="00000000" w:rsidDel="00000000" w:rsidP="00000000" w:rsidRDefault="00000000" w:rsidRPr="00000000" w14:paraId="000001B6">
            <w:pPr>
              <w:numPr>
                <w:ilvl w:val="2"/>
                <w:numId w:val="28"/>
              </w:numPr>
              <w:pBdr>
                <w:top w:space="0" w:sz="0" w:val="nil"/>
                <w:left w:space="0" w:sz="0" w:val="nil"/>
                <w:bottom w:space="0" w:sz="0" w:val="nil"/>
                <w:right w:space="0" w:sz="0" w:val="nil"/>
                <w:between w:space="0" w:sz="0" w:val="nil"/>
              </w:pBdr>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7">
            <w:pPr>
              <w:numPr>
                <w:ilvl w:val="2"/>
                <w:numId w:val="28"/>
              </w:numPr>
              <w:pBdr>
                <w:top w:space="0" w:sz="0" w:val="nil"/>
                <w:left w:space="0" w:sz="0" w:val="nil"/>
                <w:bottom w:space="0" w:sz="0" w:val="nil"/>
                <w:right w:space="0" w:sz="0" w:val="nil"/>
                <w:between w:space="0" w:sz="0" w:val="nil"/>
              </w:pBdr>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list of Costs underpinning those rates for each grade, being the agreed rate less the Supplier Profit Margin; and</w:t>
            </w:r>
          </w:p>
          <w:p w:rsidR="00000000" w:rsidDel="00000000" w:rsidP="00000000" w:rsidRDefault="00000000" w:rsidRPr="00000000" w14:paraId="000001B8">
            <w:pPr>
              <w:numPr>
                <w:ilvl w:val="2"/>
                <w:numId w:val="28"/>
              </w:numPr>
              <w:pBdr>
                <w:top w:space="0" w:sz="0" w:val="nil"/>
                <w:left w:space="0" w:sz="0" w:val="nil"/>
                <w:bottom w:space="0" w:sz="0" w:val="nil"/>
                <w:right w:space="0" w:sz="0" w:val="nil"/>
                <w:between w:space="0" w:sz="0" w:val="nil"/>
              </w:pBdr>
              <w:spacing w:after="60" w:before="60" w:lineRule="auto"/>
              <w:ind w:left="1132"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Reimbursable Expenses, if allowed under the Order Form; </w:t>
            </w:r>
          </w:p>
          <w:p w:rsidR="00000000" w:rsidDel="00000000" w:rsidP="00000000" w:rsidRDefault="00000000" w:rsidRPr="00000000" w14:paraId="000001B9">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Overheads; </w:t>
            </w:r>
          </w:p>
          <w:p w:rsidR="00000000" w:rsidDel="00000000" w:rsidP="00000000" w:rsidRDefault="00000000" w:rsidRPr="00000000" w14:paraId="000001BA">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interest, expenses and any other third party financing costs incurred in relation to the provision of the Deliverables;</w:t>
            </w:r>
          </w:p>
          <w:p w:rsidR="00000000" w:rsidDel="00000000" w:rsidP="00000000" w:rsidRDefault="00000000" w:rsidRPr="00000000" w14:paraId="000001BB">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 Profit achieved over the Framework Contract Period and on an annual basis;</w:t>
            </w:r>
          </w:p>
          <w:p w:rsidR="00000000" w:rsidDel="00000000" w:rsidP="00000000" w:rsidRDefault="00000000" w:rsidRPr="00000000" w14:paraId="000001BC">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D">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E">
            <w:pPr>
              <w:numPr>
                <w:ilvl w:val="1"/>
                <w:numId w:val="28"/>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actual Costs profile for each Service Period;</w:t>
            </w:r>
          </w:p>
        </w:tc>
      </w:tr>
      <w:tr>
        <w:trPr>
          <w:cantSplit w:val="0"/>
          <w:tblHeader w:val="0"/>
        </w:trPr>
        <w:tc>
          <w:tcPr>
            <w:shd w:fill="auto" w:val="clear"/>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“Order”</w:t>
            </w:r>
          </w:p>
        </w:tc>
        <w:tc>
          <w:tcPr>
            <w:shd w:fill="auto" w:val="clear"/>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an order for the provision of the Deliverables placed by a Buyer with the Supplier under a Contract;</w:t>
            </w:r>
          </w:p>
        </w:tc>
      </w:tr>
      <w:tr>
        <w:trPr>
          <w:cantSplit w:val="0"/>
          <w:tblHeader w:val="0"/>
        </w:trPr>
        <w:tc>
          <w:tcPr>
            <w:shd w:fill="auto" w:val="clear"/>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“Order Form”</w:t>
            </w:r>
          </w:p>
        </w:tc>
        <w:tc>
          <w:tcPr>
            <w:shd w:fill="auto" w:val="clea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completed Order Form Template (or equivalent information issued by the Buyer) used to create a Call-Off Contract;</w:t>
            </w:r>
          </w:p>
        </w:tc>
      </w:tr>
      <w:tr>
        <w:trPr>
          <w:cantSplit w:val="0"/>
          <w:tblHeader w:val="0"/>
        </w:trPr>
        <w:tc>
          <w:tcPr>
            <w:shd w:fill="auto" w:val="clear"/>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“Order Form Template”</w:t>
            </w:r>
          </w:p>
        </w:tc>
        <w:tc>
          <w:tcPr>
            <w:shd w:fill="auto" w:val="clear"/>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applicable template in either Framework Schedule 6A (Order Form Template and Call-Off Schedules – Direct Award) or Framework Schedule 6B (Order Form Template and Call-Off Schedules – Further Competition);</w:t>
            </w:r>
          </w:p>
        </w:tc>
      </w:tr>
      <w:tr>
        <w:trPr>
          <w:cantSplit w:val="0"/>
          <w:tblHeader w:val="0"/>
        </w:trPr>
        <w:tc>
          <w:tcPr>
            <w:shd w:fill="auto" w:val="clea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“Other Contracting Authority”</w:t>
            </w:r>
          </w:p>
        </w:tc>
        <w:tc>
          <w:tcPr>
            <w:shd w:fill="auto" w:val="clear"/>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actual or potential Buyer under the Framework Contract;</w:t>
            </w:r>
          </w:p>
        </w:tc>
      </w:tr>
      <w:tr>
        <w:trPr>
          <w:cantSplit w:val="0"/>
          <w:tblHeader w:val="0"/>
        </w:trPr>
        <w:tc>
          <w:tcPr>
            <w:shd w:fill="auto" w:val="clea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“Overhead”</w:t>
            </w:r>
          </w:p>
        </w:tc>
        <w:tc>
          <w:tcPr>
            <w:shd w:fill="auto" w:val="clear"/>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shd w:fill="auto" w:val="clea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“Parliament”</w:t>
            </w:r>
          </w:p>
        </w:tc>
        <w:tc>
          <w:tcPr>
            <w:shd w:fill="auto" w:val="clear"/>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takes its natural meaning as interpreted by Law;</w:t>
            </w:r>
          </w:p>
        </w:tc>
      </w:tr>
      <w:tr>
        <w:trPr>
          <w:cantSplit w:val="0"/>
          <w:tblHeader w:val="0"/>
        </w:trPr>
        <w:tc>
          <w:tcPr>
            <w:shd w:fill="auto" w:val="clea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“Party”</w:t>
            </w:r>
          </w:p>
        </w:tc>
        <w:tc>
          <w:tcPr>
            <w:shd w:fill="auto" w:val="clear"/>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2"/>
                <w:szCs w:val="22"/>
                <w:rtl w:val="0"/>
              </w:rPr>
              <w:t xml:space="preserve">Parties</w:t>
            </w:r>
            <w:r w:rsidDel="00000000" w:rsidR="00000000" w:rsidRPr="00000000">
              <w:rPr>
                <w:rFonts w:ascii="Arial" w:cs="Arial" w:eastAsia="Arial" w:hAnsi="Arial"/>
                <w:color w:val="000000"/>
                <w:sz w:val="22"/>
                <w:szCs w:val="22"/>
                <w:rtl w:val="0"/>
              </w:rPr>
              <w:t xml:space="preserve">” shall mean both of them where the context permits;</w:t>
            </w:r>
          </w:p>
        </w:tc>
      </w:tr>
      <w:tr>
        <w:trPr>
          <w:cantSplit w:val="0"/>
          <w:tblHeader w:val="0"/>
        </w:trPr>
        <w:tc>
          <w:tcPr>
            <w:shd w:fill="auto" w:val="clea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“Performance Indicators” or “PIs”</w:t>
            </w:r>
          </w:p>
        </w:tc>
        <w:tc>
          <w:tcPr>
            <w:shd w:fill="auto" w:val="clear"/>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performance measurements and targets in respect of the Supplier’s performance of the Framework Contract set out in Framework Schedule 4 (Framework Management);</w:t>
            </w:r>
          </w:p>
        </w:tc>
      </w:tr>
      <w:tr>
        <w:trPr>
          <w:cantSplit w:val="0"/>
          <w:tblHeader w:val="0"/>
        </w:trPr>
        <w:tc>
          <w:tcPr>
            <w:shd w:fill="auto" w:val="clea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“Personal Data”</w:t>
            </w:r>
          </w:p>
        </w:tc>
        <w:tc>
          <w:tcPr>
            <w:shd w:fill="auto" w:val="clea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“Personal Data Breach”</w:t>
            </w:r>
          </w:p>
        </w:tc>
        <w:tc>
          <w:tcPr>
            <w:shd w:fill="auto" w:val="clear"/>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“Personnel”</w:t>
            </w:r>
          </w:p>
        </w:tc>
        <w:tc>
          <w:tcPr>
            <w:shd w:fill="auto" w:val="clear"/>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shd w:fill="auto" w:val="clear"/>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“Prescribed Person”</w:t>
            </w:r>
          </w:p>
        </w:tc>
        <w:tc>
          <w:tcPr>
            <w:shd w:fill="auto" w:val="clear"/>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2"/>
                  <w:szCs w:val="22"/>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2"/>
                <w:szCs w:val="22"/>
                <w:rtl w:val="0"/>
              </w:rPr>
              <w:t xml:space="preserve">;</w:t>
            </w:r>
          </w:p>
        </w:tc>
      </w:tr>
      <w:tr>
        <w:trPr>
          <w:cantSplit w:val="0"/>
          <w:tblHeader w:val="0"/>
        </w:trPr>
        <w:tc>
          <w:tcPr>
            <w:shd w:fill="auto" w:val="clea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“Processing”</w:t>
            </w:r>
          </w:p>
        </w:tc>
        <w:tc>
          <w:tcPr>
            <w:shd w:fill="auto" w:val="clea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“Processor”</w:t>
            </w:r>
          </w:p>
        </w:tc>
        <w:tc>
          <w:tcPr>
            <w:shd w:fill="auto" w:val="clear"/>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UK GDPR;</w:t>
            </w:r>
          </w:p>
        </w:tc>
      </w:tr>
      <w:tr>
        <w:trPr>
          <w:cantSplit w:val="0"/>
          <w:tblHeader w:val="0"/>
        </w:trPr>
        <w:tc>
          <w:tcPr>
            <w:shd w:fill="auto" w:val="clear"/>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“Progress Meeting”</w:t>
            </w:r>
          </w:p>
        </w:tc>
        <w:tc>
          <w:tcPr>
            <w:shd w:fill="auto" w:val="clear"/>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meeting between the Buyer Authorised Representative and the Supplier Authorised Representative; </w:t>
            </w:r>
          </w:p>
        </w:tc>
      </w:tr>
      <w:tr>
        <w:trPr>
          <w:cantSplit w:val="0"/>
          <w:tblHeader w:val="0"/>
        </w:trPr>
        <w:tc>
          <w:tcPr>
            <w:shd w:fill="auto" w:val="clea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“Progress Meeting Frequency“</w:t>
            </w:r>
          </w:p>
        </w:tc>
        <w:tc>
          <w:tcPr>
            <w:shd w:fill="auto" w:val="clea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frequency at which the Supplier shall conduct a Progress Meeting in accordance with Clause 6.1 as specified in the Order Form;</w:t>
            </w:r>
          </w:p>
        </w:tc>
      </w:tr>
      <w:tr>
        <w:trPr>
          <w:cantSplit w:val="0"/>
          <w:tblHeader w:val="0"/>
        </w:trPr>
        <w:tc>
          <w:tcPr>
            <w:shd w:fill="auto" w:val="clear"/>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“Progress Report”</w:t>
            </w:r>
          </w:p>
        </w:tc>
        <w:tc>
          <w:tcPr>
            <w:shd w:fill="auto" w:val="clea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report provided by the Supplier indicating the steps taken to achieve Milestones or Delivery dates;</w:t>
            </w:r>
          </w:p>
        </w:tc>
      </w:tr>
      <w:tr>
        <w:trPr>
          <w:cantSplit w:val="0"/>
          <w:tblHeader w:val="0"/>
        </w:trPr>
        <w:tc>
          <w:tcPr>
            <w:shd w:fill="auto" w:val="clear"/>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“Progress Report Frequency”</w:t>
            </w:r>
          </w:p>
        </w:tc>
        <w:tc>
          <w:tcPr>
            <w:shd w:fill="auto" w:val="clea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frequency at which the Supplier shall deliver Progress Reports in accordance with Clause 6.1 as specified in the Order Form;</w:t>
            </w:r>
          </w:p>
        </w:tc>
      </w:tr>
      <w:tr>
        <w:trPr>
          <w:cantSplit w:val="0"/>
          <w:tblHeader w:val="0"/>
        </w:trPr>
        <w:tc>
          <w:tcPr>
            <w:shd w:fill="auto" w:val="clear"/>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“Prohibited Acts”</w:t>
            </w:r>
          </w:p>
        </w:tc>
        <w:tc>
          <w:tcPr>
            <w:shd w:fill="auto" w:val="clear"/>
          </w:tcPr>
          <w:p w:rsidR="00000000" w:rsidDel="00000000" w:rsidP="00000000" w:rsidRDefault="00000000" w:rsidRPr="00000000" w14:paraId="000001E4">
            <w:pPr>
              <w:numPr>
                <w:ilvl w:val="1"/>
                <w:numId w:val="29"/>
              </w:numPr>
              <w:pBdr>
                <w:top w:space="0" w:sz="0" w:val="nil"/>
                <w:left w:space="0" w:sz="0" w:val="nil"/>
                <w:bottom w:space="0" w:sz="0" w:val="nil"/>
                <w:right w:space="0" w:sz="0" w:val="nil"/>
                <w:between w:space="0" w:sz="0" w:val="nil"/>
              </w:pBdr>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5">
            <w:pPr>
              <w:numPr>
                <w:ilvl w:val="2"/>
                <w:numId w:val="29"/>
              </w:numPr>
              <w:pBdr>
                <w:top w:space="0" w:sz="0" w:val="nil"/>
                <w:left w:space="0" w:sz="0" w:val="nil"/>
                <w:bottom w:space="0" w:sz="0" w:val="nil"/>
                <w:right w:space="0" w:sz="0" w:val="nil"/>
                <w:between w:space="0" w:sz="0" w:val="nil"/>
              </w:pBdr>
              <w:spacing w:after="60" w:before="60" w:lineRule="auto"/>
              <w:ind w:left="1275" w:right="135"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induce that person to perform improperly a relevant function or activity; or</w:t>
            </w:r>
          </w:p>
          <w:p w:rsidR="00000000" w:rsidDel="00000000" w:rsidP="00000000" w:rsidRDefault="00000000" w:rsidRPr="00000000" w14:paraId="000001E6">
            <w:pPr>
              <w:numPr>
                <w:ilvl w:val="2"/>
                <w:numId w:val="29"/>
              </w:numPr>
              <w:pBdr>
                <w:top w:space="0" w:sz="0" w:val="nil"/>
                <w:left w:space="0" w:sz="0" w:val="nil"/>
                <w:bottom w:space="0" w:sz="0" w:val="nil"/>
                <w:right w:space="0" w:sz="0" w:val="nil"/>
                <w:between w:space="0" w:sz="0" w:val="nil"/>
              </w:pBdr>
              <w:spacing w:after="60" w:before="60" w:lineRule="auto"/>
              <w:ind w:left="1275" w:right="135"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reward that person for improper performance of a relevant function or activity; </w:t>
            </w:r>
          </w:p>
          <w:p w:rsidR="00000000" w:rsidDel="00000000" w:rsidP="00000000" w:rsidRDefault="00000000" w:rsidRPr="00000000" w14:paraId="000001E7">
            <w:pPr>
              <w:numPr>
                <w:ilvl w:val="1"/>
                <w:numId w:val="29"/>
              </w:numPr>
              <w:pBdr>
                <w:top w:space="0" w:sz="0" w:val="nil"/>
                <w:left w:space="0" w:sz="0" w:val="nil"/>
                <w:bottom w:space="0" w:sz="0" w:val="nil"/>
                <w:right w:space="0" w:sz="0" w:val="nil"/>
                <w:between w:space="0" w:sz="0" w:val="nil"/>
              </w:pBdr>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8">
            <w:pPr>
              <w:numPr>
                <w:ilvl w:val="1"/>
                <w:numId w:val="29"/>
              </w:numPr>
              <w:pBdr>
                <w:top w:space="0" w:sz="0" w:val="nil"/>
                <w:left w:space="0" w:sz="0" w:val="nil"/>
                <w:bottom w:space="0" w:sz="0" w:val="nil"/>
                <w:right w:space="0" w:sz="0" w:val="nil"/>
                <w:between w:space="0" w:sz="0" w:val="nil"/>
              </w:pBdr>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committing any offence:</w:t>
            </w:r>
          </w:p>
          <w:p w:rsidR="00000000" w:rsidDel="00000000" w:rsidP="00000000" w:rsidRDefault="00000000" w:rsidRPr="00000000" w14:paraId="000001E9">
            <w:pPr>
              <w:numPr>
                <w:ilvl w:val="2"/>
                <w:numId w:val="29"/>
              </w:numPr>
              <w:pBdr>
                <w:top w:space="0" w:sz="0" w:val="nil"/>
                <w:left w:space="0" w:sz="0" w:val="nil"/>
                <w:bottom w:space="0" w:sz="0" w:val="nil"/>
                <w:right w:space="0" w:sz="0" w:val="nil"/>
                <w:between w:space="0" w:sz="0" w:val="nil"/>
              </w:pBdr>
              <w:spacing w:after="60" w:before="60" w:lineRule="auto"/>
              <w:ind w:left="1275" w:right="135"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under the Bribery Act 2010 (or any legislation repealed or revoked by such Act); or</w:t>
            </w:r>
          </w:p>
          <w:p w:rsidR="00000000" w:rsidDel="00000000" w:rsidP="00000000" w:rsidRDefault="00000000" w:rsidRPr="00000000" w14:paraId="000001EA">
            <w:pPr>
              <w:numPr>
                <w:ilvl w:val="2"/>
                <w:numId w:val="29"/>
              </w:numPr>
              <w:pBdr>
                <w:top w:space="0" w:sz="0" w:val="nil"/>
                <w:left w:space="0" w:sz="0" w:val="nil"/>
                <w:bottom w:space="0" w:sz="0" w:val="nil"/>
                <w:right w:space="0" w:sz="0" w:val="nil"/>
                <w:between w:space="0" w:sz="0" w:val="nil"/>
              </w:pBdr>
              <w:spacing w:after="60" w:before="60" w:lineRule="auto"/>
              <w:ind w:left="1275" w:right="135"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under legislation or common law concerning fraudulent acts; or</w:t>
            </w:r>
          </w:p>
          <w:p w:rsidR="00000000" w:rsidDel="00000000" w:rsidP="00000000" w:rsidRDefault="00000000" w:rsidRPr="00000000" w14:paraId="000001EB">
            <w:pPr>
              <w:numPr>
                <w:ilvl w:val="2"/>
                <w:numId w:val="29"/>
              </w:numPr>
              <w:pBdr>
                <w:top w:space="0" w:sz="0" w:val="nil"/>
                <w:left w:space="0" w:sz="0" w:val="nil"/>
                <w:bottom w:space="0" w:sz="0" w:val="nil"/>
                <w:right w:space="0" w:sz="0" w:val="nil"/>
                <w:between w:space="0" w:sz="0" w:val="nil"/>
              </w:pBdr>
              <w:spacing w:after="60" w:before="60" w:lineRule="auto"/>
              <w:ind w:left="1275" w:right="135" w:hanging="567"/>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defrauding, attempting to defraud or conspiring to defraud a Buyer or other public body; or </w:t>
            </w:r>
          </w:p>
          <w:p w:rsidR="00000000" w:rsidDel="00000000" w:rsidP="00000000" w:rsidRDefault="00000000" w:rsidRPr="00000000" w14:paraId="000001EC">
            <w:pPr>
              <w:numPr>
                <w:ilvl w:val="1"/>
                <w:numId w:val="29"/>
              </w:numPr>
              <w:pBdr>
                <w:top w:space="0" w:sz="0" w:val="nil"/>
                <w:left w:space="0" w:sz="0" w:val="nil"/>
                <w:bottom w:space="0" w:sz="0" w:val="nil"/>
                <w:right w:space="0" w:sz="0" w:val="nil"/>
                <w:between w:space="0" w:sz="0" w:val="nil"/>
              </w:pBdr>
              <w:spacing w:after="60" w:before="60" w:lineRule="auto"/>
              <w:ind w:left="707" w:right="135"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activity, practice or conduct which would constitute one of the offences listed under (c) above if such activity, practice or conduct had been carried out in the UK;</w:t>
            </w:r>
          </w:p>
        </w:tc>
      </w:tr>
      <w:tr>
        <w:trPr>
          <w:cantSplit w:val="0"/>
          <w:tblHeader w:val="0"/>
        </w:trPr>
        <w:tc>
          <w:tcPr>
            <w:shd w:fill="auto" w:val="clea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“Protective Measures”</w:t>
            </w:r>
          </w:p>
        </w:tc>
        <w:tc>
          <w:tcPr>
            <w:shd w:fill="auto" w:val="clear"/>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appropriate technical and organisational measures which may include: </w:t>
            </w:r>
            <w:r w:rsidDel="00000000" w:rsidR="00000000" w:rsidRPr="00000000">
              <w:rPr>
                <w:rFonts w:ascii="Arial" w:cs="Arial" w:eastAsia="Arial" w:hAnsi="Arial"/>
                <w:sz w:val="22"/>
                <w:szCs w:val="22"/>
                <w:rtl w:val="0"/>
              </w:rPr>
              <w:t xml:space="preserve">pseudonymisation</w:t>
            </w:r>
            <w:r w:rsidDel="00000000" w:rsidR="00000000" w:rsidRPr="00000000">
              <w:rPr>
                <w:rFonts w:ascii="Arial" w:cs="Arial" w:eastAsia="Arial" w:hAnsi="Arial"/>
                <w:color w:val="000000"/>
                <w:sz w:val="22"/>
                <w:szCs w:val="22"/>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9A (Security) or Call-Off 9B (MOD Security), if applicable, in the case of a Call-Off Contract;</w:t>
            </w:r>
          </w:p>
        </w:tc>
      </w:tr>
      <w:tr>
        <w:trPr>
          <w:cantSplit w:val="0"/>
          <w:tblHeader w:val="0"/>
        </w:trPr>
        <w:tc>
          <w:tcPr>
            <w:shd w:fill="auto" w:val="clea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“Recipient Party”</w:t>
            </w:r>
          </w:p>
        </w:tc>
        <w:tc>
          <w:tcPr>
            <w:shd w:fill="auto" w:val="clear"/>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Party which receives or obtains directly or indirectly Confidential Information;</w:t>
            </w:r>
          </w:p>
        </w:tc>
      </w:tr>
      <w:tr>
        <w:trPr>
          <w:cantSplit w:val="0"/>
          <w:tblHeader w:val="0"/>
        </w:trPr>
        <w:tc>
          <w:tcPr>
            <w:shd w:fill="auto" w:val="clea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“Rectification Plan”</w:t>
            </w:r>
          </w:p>
        </w:tc>
        <w:tc>
          <w:tcPr>
            <w:shd w:fill="auto" w:val="clea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3">
            <w:pPr>
              <w:numPr>
                <w:ilvl w:val="1"/>
                <w:numId w:val="31"/>
              </w:numPr>
              <w:pBdr>
                <w:top w:space="0" w:sz="0" w:val="nil"/>
                <w:left w:space="0" w:sz="0" w:val="nil"/>
                <w:bottom w:space="0" w:sz="0" w:val="nil"/>
                <w:right w:space="0" w:sz="0" w:val="nil"/>
                <w:between w:space="0" w:sz="0" w:val="nil"/>
              </w:pBdr>
              <w:tabs>
                <w:tab w:val="left" w:leader="none" w:pos="-576"/>
                <w:tab w:val="left" w:leader="none" w:pos="708"/>
              </w:tabs>
              <w:spacing w:after="60" w:before="60" w:lineRule="auto"/>
              <w:ind w:left="708" w:right="14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full details of the Default that has occurred, including a root cause analysis;</w:t>
            </w:r>
          </w:p>
          <w:p w:rsidR="00000000" w:rsidDel="00000000" w:rsidP="00000000" w:rsidRDefault="00000000" w:rsidRPr="00000000" w14:paraId="000001F4">
            <w:pPr>
              <w:numPr>
                <w:ilvl w:val="1"/>
                <w:numId w:val="31"/>
              </w:numPr>
              <w:pBdr>
                <w:top w:space="0" w:sz="0" w:val="nil"/>
                <w:left w:space="0" w:sz="0" w:val="nil"/>
                <w:bottom w:space="0" w:sz="0" w:val="nil"/>
                <w:right w:space="0" w:sz="0" w:val="nil"/>
                <w:between w:space="0" w:sz="0" w:val="nil"/>
              </w:pBdr>
              <w:tabs>
                <w:tab w:val="left" w:leader="none" w:pos="-576"/>
                <w:tab w:val="left" w:leader="none" w:pos="708"/>
              </w:tabs>
              <w:spacing w:after="60" w:before="60" w:lineRule="auto"/>
              <w:ind w:left="708" w:right="14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actual or anticipated effect of the Default; and</w:t>
            </w:r>
          </w:p>
          <w:p w:rsidR="00000000" w:rsidDel="00000000" w:rsidP="00000000" w:rsidRDefault="00000000" w:rsidRPr="00000000" w14:paraId="000001F5">
            <w:pPr>
              <w:numPr>
                <w:ilvl w:val="1"/>
                <w:numId w:val="31"/>
              </w:numPr>
              <w:pBdr>
                <w:top w:space="0" w:sz="0" w:val="nil"/>
                <w:left w:space="0" w:sz="0" w:val="nil"/>
                <w:bottom w:space="0" w:sz="0" w:val="nil"/>
                <w:right w:space="0" w:sz="0" w:val="nil"/>
                <w:between w:space="0" w:sz="0" w:val="nil"/>
              </w:pBdr>
              <w:tabs>
                <w:tab w:val="left" w:leader="none" w:pos="-576"/>
                <w:tab w:val="left" w:leader="none" w:pos="708"/>
              </w:tabs>
              <w:spacing w:after="60" w:before="60" w:lineRule="auto"/>
              <w:ind w:left="708" w:right="14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shd w:fill="auto" w:val="clear"/>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“Rectification Plan Process”</w:t>
            </w:r>
          </w:p>
        </w:tc>
        <w:tc>
          <w:tcPr>
            <w:shd w:fill="auto" w:val="clear"/>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process set out in Clause 10.3.1 to 10.3.4 (Rectification Plan Process); </w:t>
            </w:r>
          </w:p>
        </w:tc>
      </w:tr>
      <w:tr>
        <w:trPr>
          <w:cantSplit w:val="0"/>
          <w:tblHeader w:val="0"/>
        </w:trPr>
        <w:tc>
          <w:tcPr>
            <w:shd w:fill="auto" w:val="clear"/>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“Regulations”</w:t>
            </w:r>
          </w:p>
        </w:tc>
        <w:tc>
          <w:tcPr>
            <w:shd w:fill="auto" w:val="clear"/>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Public Contracts Regulations 2015 and/or the Public Contracts (Scotland) Regulations 2015 (as the context requires);</w:t>
            </w:r>
          </w:p>
        </w:tc>
      </w:tr>
      <w:tr>
        <w:trPr>
          <w:cantSplit w:val="0"/>
          <w:tblHeader w:val="0"/>
        </w:trPr>
        <w:tc>
          <w:tcPr>
            <w:shd w:fill="auto" w:val="clear"/>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“Reimbursable Expenses”</w:t>
            </w:r>
          </w:p>
        </w:tc>
        <w:tc>
          <w:tcPr>
            <w:shd w:fill="auto" w:val="clear"/>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C">
            <w:pPr>
              <w:numPr>
                <w:ilvl w:val="1"/>
                <w:numId w:val="1"/>
              </w:numPr>
              <w:pBdr>
                <w:top w:space="0" w:sz="0" w:val="nil"/>
                <w:left w:space="0" w:sz="0" w:val="nil"/>
                <w:bottom w:space="0" w:sz="0" w:val="nil"/>
                <w:right w:space="0" w:sz="0" w:val="nil"/>
                <w:between w:space="0" w:sz="0" w:val="nil"/>
              </w:pBdr>
              <w:tabs>
                <w:tab w:val="left" w:leader="none" w:pos="174"/>
              </w:tabs>
              <w:spacing w:after="60" w:before="60" w:lineRule="auto"/>
              <w:ind w:left="708" w:right="14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D">
            <w:pPr>
              <w:numPr>
                <w:ilvl w:val="1"/>
                <w:numId w:val="1"/>
              </w:numPr>
              <w:pBdr>
                <w:top w:space="0" w:sz="0" w:val="nil"/>
                <w:left w:space="0" w:sz="0" w:val="nil"/>
                <w:bottom w:space="0" w:sz="0" w:val="nil"/>
                <w:right w:space="0" w:sz="0" w:val="nil"/>
                <w:between w:space="0" w:sz="0" w:val="nil"/>
              </w:pBdr>
              <w:tabs>
                <w:tab w:val="left" w:leader="none" w:pos="174"/>
              </w:tabs>
              <w:spacing w:after="60" w:before="60" w:lineRule="auto"/>
              <w:ind w:left="708" w:right="144" w:hanging="53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shd w:fill="auto" w:val="clear"/>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“Relevant Authority”</w:t>
            </w:r>
          </w:p>
        </w:tc>
        <w:tc>
          <w:tcPr>
            <w:shd w:fill="auto" w:val="clear"/>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Authority which is party to the Contract to which a right or obligation is owed, as the context requires;</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rtl w:val="0"/>
              </w:rPr>
              <w:t xml:space="preserve">“Relevant Authority's Confidential Information”</w:t>
            </w:r>
            <w:r w:rsidDel="00000000" w:rsidR="00000000" w:rsidRPr="00000000">
              <w:rPr>
                <w:rtl w:val="0"/>
              </w:rPr>
            </w:r>
          </w:p>
        </w:tc>
        <w:tc>
          <w:tcPr/>
          <w:p w:rsidR="00000000" w:rsidDel="00000000" w:rsidP="00000000" w:rsidRDefault="00000000" w:rsidRPr="00000000" w14:paraId="00000201">
            <w:pPr>
              <w:numPr>
                <w:ilvl w:val="1"/>
                <w:numId w:val="3"/>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r w:rsidDel="00000000" w:rsidR="00000000" w:rsidRPr="00000000">
              <w:rPr>
                <w:rtl w:val="0"/>
              </w:rPr>
            </w:r>
          </w:p>
          <w:p w:rsidR="00000000" w:rsidDel="00000000" w:rsidP="00000000" w:rsidRDefault="00000000" w:rsidRPr="00000000" w14:paraId="00000202">
            <w:pPr>
              <w:numPr>
                <w:ilvl w:val="1"/>
                <w:numId w:val="3"/>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r w:rsidDel="00000000" w:rsidR="00000000" w:rsidRPr="00000000">
              <w:rPr>
                <w:rtl w:val="0"/>
              </w:rPr>
            </w:r>
          </w:p>
          <w:p w:rsidR="00000000" w:rsidDel="00000000" w:rsidP="00000000" w:rsidRDefault="00000000" w:rsidRPr="00000000" w14:paraId="00000203">
            <w:pPr>
              <w:numPr>
                <w:ilvl w:val="1"/>
                <w:numId w:val="3"/>
              </w:numPr>
              <w:pBdr>
                <w:top w:space="0" w:sz="0" w:val="nil"/>
                <w:left w:space="0" w:sz="0" w:val="nil"/>
                <w:bottom w:space="0" w:sz="0" w:val="nil"/>
                <w:right w:space="0" w:sz="0" w:val="nil"/>
                <w:between w:space="0" w:sz="0" w:val="nil"/>
              </w:pBdr>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information derived from any of the above;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“Relevant   Requirements”</w:t>
            </w:r>
          </w:p>
        </w:tc>
        <w:tc>
          <w:tcPr>
            <w:shd w:fill="auto" w:val="clear"/>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shd w:fill="auto" w:val="clear"/>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“Relevant Tax Authority”</w:t>
            </w:r>
          </w:p>
        </w:tc>
        <w:tc>
          <w:tcPr>
            <w:shd w:fill="auto" w:val="clea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“Reminder Notice”</w:t>
            </w:r>
          </w:p>
        </w:tc>
        <w:tc>
          <w:tcPr>
            <w:shd w:fill="auto" w:val="clea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notice sent in accordance with Clause 10.5 given by the Supplier to the Buyer providing notification that payment has not been received on time; </w:t>
            </w:r>
          </w:p>
        </w:tc>
      </w:tr>
      <w:tr>
        <w:trPr>
          <w:cantSplit w:val="0"/>
          <w:tblHeader w:val="0"/>
        </w:trPr>
        <w:tc>
          <w:tcPr>
            <w:shd w:fill="auto" w:val="clear"/>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“Replacement Deliverables”</w:t>
            </w:r>
          </w:p>
        </w:tc>
        <w:tc>
          <w:tcPr>
            <w:shd w:fill="auto" w:val="clea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shd w:fill="auto" w:val="clear"/>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“Replacement Subcontractor”</w:t>
            </w:r>
          </w:p>
        </w:tc>
        <w:tc>
          <w:tcPr>
            <w:shd w:fill="auto" w:val="clea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shd w:fill="auto" w:val="clear"/>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“Replacement Supplier”</w:t>
            </w:r>
          </w:p>
        </w:tc>
        <w:tc>
          <w:tcPr>
            <w:shd w:fill="auto" w:val="clea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shd w:fill="auto" w:val="clear"/>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“Request For Information”</w:t>
            </w:r>
          </w:p>
        </w:tc>
        <w:tc>
          <w:tcPr>
            <w:shd w:fill="auto" w:val="clea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shd w:fill="auto" w:val="clea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“Required Insurances”</w:t>
            </w:r>
          </w:p>
        </w:tc>
        <w:tc>
          <w:tcPr>
            <w:shd w:fill="auto" w:val="clea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the insurances required by Joint Schedule 3 (Insurance Requirements) or any Additional Insurances specified in the Order Form</w:t>
            </w:r>
            <w:r w:rsidDel="00000000" w:rsidR="00000000" w:rsidRPr="00000000">
              <w:rPr>
                <w:rFonts w:ascii="Arial" w:cs="Arial" w:eastAsia="Arial" w:hAnsi="Arial"/>
                <w:color w:val="000000"/>
                <w:sz w:val="22"/>
                <w:szCs w:val="22"/>
                <w:rtl w:val="0"/>
              </w:rPr>
              <w:t xml:space="preserve">; </w:t>
            </w:r>
          </w:p>
        </w:tc>
      </w:tr>
      <w:tr>
        <w:trPr>
          <w:cantSplit w:val="0"/>
          <w:tblHeader w:val="0"/>
        </w:trPr>
        <w:tc>
          <w:tcPr>
            <w:shd w:fill="auto" w:val="clea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“Security Management Plan”</w:t>
            </w:r>
          </w:p>
        </w:tc>
        <w:tc>
          <w:tcPr>
            <w:shd w:fill="auto" w:val="clea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Supplier's security management plan prepared pursuant to Call-Off Schedule 9A (Security) or the Call-Off Schedule 9B (MOD Security) (if applicable); </w:t>
            </w:r>
          </w:p>
        </w:tc>
      </w:tr>
      <w:tr>
        <w:trPr>
          <w:cantSplit w:val="0"/>
          <w:tblHeader w:val="0"/>
        </w:trPr>
        <w:tc>
          <w:tcPr>
            <w:shd w:fill="auto" w:val="clear"/>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“Security Policy”</w:t>
            </w:r>
          </w:p>
        </w:tc>
        <w:tc>
          <w:tcPr>
            <w:shd w:fill="auto" w:val="clear"/>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shd w:fill="auto" w:val="clear"/>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“Self Audit Certificate”</w:t>
            </w:r>
          </w:p>
        </w:tc>
        <w:tc>
          <w:tcPr>
            <w:shd w:fill="auto" w:val="clear"/>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means the certificate in the form as set out in Framework Schedule 8 (Self Audit Certificate);</w:t>
            </w:r>
          </w:p>
        </w:tc>
      </w:tr>
      <w:tr>
        <w:trPr>
          <w:cantSplit w:val="0"/>
          <w:tblHeader w:val="0"/>
        </w:trPr>
        <w:tc>
          <w:tcPr>
            <w:shd w:fill="auto" w:val="clear"/>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“Serious Fraud Office”</w:t>
            </w:r>
          </w:p>
        </w:tc>
        <w:tc>
          <w:tcPr>
            <w:shd w:fill="auto" w:val="clear"/>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UK Government body named as such as may be renamed or replaced by an equivalent body from time to time;</w:t>
            </w:r>
          </w:p>
        </w:tc>
      </w:tr>
      <w:tr>
        <w:trPr>
          <w:cantSplit w:val="0"/>
          <w:tblHeader w:val="0"/>
        </w:trPr>
        <w:tc>
          <w:tcPr>
            <w:shd w:fill="auto" w:val="clear"/>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“Service Credits”</w:t>
            </w:r>
          </w:p>
        </w:tc>
        <w:tc>
          <w:tcPr>
            <w:shd w:fill="auto" w:val="clear"/>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service credits specified in the Annex to Part A of Call-Off Schedule 14 (Service Levels) being payable by the Supplier to the Buyer in respect of any failure by the Supplier to meet one or more Service Levels;</w:t>
            </w:r>
          </w:p>
        </w:tc>
      </w:tr>
      <w:tr>
        <w:trPr>
          <w:cantSplit w:val="0"/>
          <w:tblHeader w:val="0"/>
        </w:trPr>
        <w:tc>
          <w:tcPr>
            <w:shd w:fill="auto" w:val="clear"/>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“Service Levels”</w:t>
            </w:r>
          </w:p>
        </w:tc>
        <w:tc>
          <w:tcPr>
            <w:shd w:fill="auto" w:val="clea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service levels applicable to the provision of the Deliverables under the Call-Off Contract which are specified in the Annex to Part A of Call-Off Schedule 14 (Service Levels;</w:t>
            </w:r>
          </w:p>
        </w:tc>
      </w:tr>
      <w:tr>
        <w:trPr>
          <w:cantSplit w:val="0"/>
          <w:tblHeader w:val="0"/>
        </w:trPr>
        <w:tc>
          <w:tcPr>
            <w:shd w:fill="auto" w:val="clear"/>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“Service Period”</w:t>
            </w:r>
          </w:p>
        </w:tc>
        <w:tc>
          <w:tcPr>
            <w:shd w:fill="auto" w:val="clea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“Services”</w:t>
            </w:r>
          </w:p>
        </w:tc>
        <w:tc>
          <w:tcPr>
            <w:shd w:fill="auto" w:val="clea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services made available by the Supplier as specified in Framework Schedule 1 (Specification) and in relation to a Call-Off Contract as specified in the Order Form;</w:t>
            </w:r>
          </w:p>
        </w:tc>
      </w:tr>
      <w:tr>
        <w:trPr>
          <w:cantSplit w:val="0"/>
          <w:tblHeader w:val="0"/>
        </w:trPr>
        <w:tc>
          <w:tcPr>
            <w:shd w:fill="auto" w:val="clear"/>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“Service Transfer”</w:t>
            </w:r>
          </w:p>
        </w:tc>
        <w:tc>
          <w:tcPr>
            <w:shd w:fill="auto" w:val="clea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shd w:fill="auto" w:val="clear"/>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highlight w:val="green"/>
              </w:rPr>
            </w:pPr>
            <w:r w:rsidDel="00000000" w:rsidR="00000000" w:rsidRPr="00000000">
              <w:rPr>
                <w:rFonts w:ascii="Arial" w:cs="Arial" w:eastAsia="Arial" w:hAnsi="Arial"/>
                <w:b w:val="1"/>
                <w:color w:val="000000"/>
                <w:sz w:val="22"/>
                <w:szCs w:val="22"/>
                <w:rtl w:val="0"/>
              </w:rPr>
              <w:t xml:space="preserve">“Service Transfer Date”</w:t>
            </w:r>
            <w:r w:rsidDel="00000000" w:rsidR="00000000" w:rsidRPr="00000000">
              <w:rPr>
                <w:rtl w:val="0"/>
              </w:rPr>
            </w:r>
          </w:p>
        </w:tc>
        <w:tc>
          <w:tcPr>
            <w:shd w:fill="auto" w:val="clea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date of a Service Transfer;</w:t>
            </w:r>
          </w:p>
        </w:tc>
      </w:tr>
      <w:tr>
        <w:trPr>
          <w:cantSplit w:val="0"/>
          <w:tblHeader w:val="0"/>
        </w:trPr>
        <w:tc>
          <w:tcPr>
            <w:shd w:fill="auto" w:val="clear"/>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“Sites”</w:t>
            </w:r>
          </w:p>
        </w:tc>
        <w:tc>
          <w:tcPr>
            <w:shd w:fill="auto" w:val="clea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premises (including the Buyer Premises, the Supplier’s premises or third party premises) from, to or at which:</w:t>
            </w:r>
          </w:p>
          <w:p w:rsidR="00000000" w:rsidDel="00000000" w:rsidP="00000000" w:rsidRDefault="00000000" w:rsidRPr="00000000" w14:paraId="0000022A">
            <w:pPr>
              <w:numPr>
                <w:ilvl w:val="1"/>
                <w:numId w:val="10"/>
              </w:numPr>
              <w:pBdr>
                <w:top w:space="0" w:sz="0" w:val="nil"/>
                <w:left w:space="0" w:sz="0" w:val="nil"/>
                <w:bottom w:space="0" w:sz="0" w:val="nil"/>
                <w:right w:space="0" w:sz="0" w:val="nil"/>
                <w:between w:space="0" w:sz="0" w:val="nil"/>
              </w:pBdr>
              <w:spacing w:after="60" w:before="60" w:lineRule="auto"/>
              <w:ind w:left="565" w:right="14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Deliverables are (or are to be) provided; or</w:t>
            </w:r>
          </w:p>
          <w:p w:rsidR="00000000" w:rsidDel="00000000" w:rsidP="00000000" w:rsidRDefault="00000000" w:rsidRPr="00000000" w14:paraId="0000022B">
            <w:pPr>
              <w:numPr>
                <w:ilvl w:val="1"/>
                <w:numId w:val="10"/>
              </w:numPr>
              <w:pBdr>
                <w:top w:space="0" w:sz="0" w:val="nil"/>
                <w:left w:space="0" w:sz="0" w:val="nil"/>
                <w:bottom w:space="0" w:sz="0" w:val="nil"/>
                <w:right w:space="0" w:sz="0" w:val="nil"/>
                <w:between w:space="0" w:sz="0" w:val="nil"/>
              </w:pBdr>
              <w:spacing w:after="60" w:before="60" w:lineRule="auto"/>
              <w:ind w:left="565" w:right="14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 manages, organises or otherwise directs the provision or the use of the Deliverables;</w:t>
            </w:r>
          </w:p>
        </w:tc>
      </w:tr>
      <w:tr>
        <w:trPr>
          <w:cantSplit w:val="0"/>
          <w:trHeight w:val="945" w:hRule="atLeast"/>
          <w:tblHeader w:val="0"/>
        </w:trPr>
        <w:tc>
          <w:tcPr>
            <w:shd w:fill="auto" w:val="clear"/>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“SME”</w:t>
            </w:r>
          </w:p>
        </w:tc>
        <w:tc>
          <w:tcPr>
            <w:shd w:fill="auto" w:val="clea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615" w:hRule="atLeast"/>
          <w:tblHeader w:val="0"/>
        </w:trPr>
        <w:tc>
          <w:tcPr>
            <w:shd w:fill="auto" w:val="clear"/>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“Special Terms”</w:t>
            </w:r>
          </w:p>
        </w:tc>
        <w:tc>
          <w:tcPr>
            <w:shd w:fill="auto" w:val="clea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additional Clauses set out in the Framework Award Form or Order Form which shall form part of the respective Contract;</w:t>
            </w:r>
          </w:p>
        </w:tc>
      </w:tr>
      <w:tr>
        <w:trPr>
          <w:cantSplit w:val="0"/>
          <w:trHeight w:val="945" w:hRule="atLeast"/>
          <w:tblHeader w:val="0"/>
        </w:trPr>
        <w:tc>
          <w:tcPr>
            <w:shd w:fill="auto" w:val="clear"/>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“Specific Change in Law”</w:t>
            </w:r>
          </w:p>
        </w:tc>
        <w:tc>
          <w:tcPr>
            <w:shd w:fill="auto" w:val="clea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shd w:fill="auto" w:val="clear"/>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“Specification”</w:t>
            </w:r>
          </w:p>
        </w:tc>
        <w:tc>
          <w:tcPr>
            <w:shd w:fill="auto" w:val="clea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specification set out in Framework Schedule 1 (Specification) and in relation to a Call-Off Contract, Call-Off Schedule 20 (Call-Off Specification); </w:t>
            </w:r>
          </w:p>
        </w:tc>
      </w:tr>
      <w:tr>
        <w:trPr>
          <w:cantSplit w:val="0"/>
          <w:tblHeader w:val="0"/>
        </w:trPr>
        <w:tc>
          <w:tcPr>
            <w:shd w:fill="auto" w:val="clear"/>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“Standards”</w:t>
            </w:r>
          </w:p>
        </w:tc>
        <w:tc>
          <w:tcPr>
            <w:shd w:fill="auto" w:val="clear"/>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60" w:before="60" w:lineRule="auto"/>
              <w:ind w:left="423" w:right="144" w:hanging="28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w:t>
            </w:r>
          </w:p>
          <w:p w:rsidR="00000000" w:rsidDel="00000000" w:rsidP="00000000" w:rsidRDefault="00000000" w:rsidRPr="00000000" w14:paraId="00000236">
            <w:pPr>
              <w:numPr>
                <w:ilvl w:val="1"/>
                <w:numId w:val="7"/>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7">
            <w:pPr>
              <w:numPr>
                <w:ilvl w:val="1"/>
                <w:numId w:val="7"/>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standards detailed in the specification in Schedule 1 (Specification);</w:t>
            </w:r>
          </w:p>
          <w:p w:rsidR="00000000" w:rsidDel="00000000" w:rsidP="00000000" w:rsidRDefault="00000000" w:rsidRPr="00000000" w14:paraId="00000238">
            <w:pPr>
              <w:numPr>
                <w:ilvl w:val="1"/>
                <w:numId w:val="7"/>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239">
            <w:pPr>
              <w:numPr>
                <w:ilvl w:val="1"/>
                <w:numId w:val="7"/>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relevant Government codes of practice and guidance applicable from time to time;</w:t>
            </w:r>
          </w:p>
        </w:tc>
      </w:tr>
      <w:tr>
        <w:trPr>
          <w:cantSplit w:val="0"/>
          <w:tblHeader w:val="0"/>
        </w:trPr>
        <w:tc>
          <w:tcPr>
            <w:shd w:fill="auto" w:val="clea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“Start Date”</w:t>
            </w:r>
          </w:p>
        </w:tc>
        <w:tc>
          <w:tcPr>
            <w:shd w:fill="auto" w:val="clear"/>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the case of the Framework Contract, the date specified on the Framework Award Form, and in the case of a Call-Off Contract, the date specified in the Order Form;</w:t>
            </w:r>
          </w:p>
        </w:tc>
      </w:tr>
      <w:tr>
        <w:trPr>
          <w:cantSplit w:val="0"/>
          <w:tblHeader w:val="0"/>
        </w:trPr>
        <w:tc>
          <w:tcPr>
            <w:shd w:fill="auto" w:val="clea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“Statement of Requirements”</w:t>
            </w:r>
          </w:p>
        </w:tc>
        <w:tc>
          <w:tcPr>
            <w:shd w:fill="auto" w:val="clear"/>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statement issued by the Buyer detailing its requirements in respect of Deliverables issued in accordance with the Call-Off Procedure;</w:t>
            </w:r>
          </w:p>
        </w:tc>
      </w:tr>
      <w:tr>
        <w:trPr>
          <w:cantSplit w:val="0"/>
          <w:tblHeader w:val="0"/>
        </w:trPr>
        <w:tc>
          <w:tcPr>
            <w:shd w:fill="auto" w:val="clea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“Storage Media”</w:t>
            </w:r>
          </w:p>
        </w:tc>
        <w:tc>
          <w:tcPr>
            <w:shd w:fill="auto" w:val="clear"/>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60" w:before="60" w:lineRule="auto"/>
              <w:ind w:left="423" w:right="144" w:hanging="28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part of any device that is capable of storing and retrieving data;</w:t>
            </w:r>
          </w:p>
        </w:tc>
      </w:tr>
      <w:tr>
        <w:trPr>
          <w:cantSplit w:val="0"/>
          <w:tblHeader w:val="0"/>
        </w:trPr>
        <w:tc>
          <w:tcPr>
            <w:shd w:fill="auto" w:val="clear"/>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“Sub-Contract”</w:t>
            </w:r>
          </w:p>
        </w:tc>
        <w:tc>
          <w:tcPr>
            <w:shd w:fill="auto" w:val="clear"/>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2">
            <w:pPr>
              <w:numPr>
                <w:ilvl w:val="1"/>
                <w:numId w:val="12"/>
              </w:numPr>
              <w:pBdr>
                <w:top w:space="0" w:sz="0" w:val="nil"/>
                <w:left w:space="0" w:sz="0" w:val="nil"/>
                <w:bottom w:space="0" w:sz="0" w:val="nil"/>
                <w:right w:space="0" w:sz="0" w:val="nil"/>
                <w:between w:space="0" w:sz="0" w:val="nil"/>
              </w:pBdr>
              <w:tabs>
                <w:tab w:val="left" w:leader="none" w:pos="-576"/>
              </w:tabs>
              <w:spacing w:after="60" w:before="60" w:lineRule="auto"/>
              <w:ind w:left="565" w:right="14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provides the Deliverables (or any part of them);</w:t>
            </w:r>
          </w:p>
          <w:p w:rsidR="00000000" w:rsidDel="00000000" w:rsidP="00000000" w:rsidRDefault="00000000" w:rsidRPr="00000000" w14:paraId="00000243">
            <w:pPr>
              <w:numPr>
                <w:ilvl w:val="1"/>
                <w:numId w:val="12"/>
              </w:numPr>
              <w:pBdr>
                <w:top w:space="0" w:sz="0" w:val="nil"/>
                <w:left w:space="0" w:sz="0" w:val="nil"/>
                <w:bottom w:space="0" w:sz="0" w:val="nil"/>
                <w:right w:space="0" w:sz="0" w:val="nil"/>
                <w:between w:space="0" w:sz="0" w:val="nil"/>
              </w:pBdr>
              <w:tabs>
                <w:tab w:val="left" w:leader="none" w:pos="-576"/>
              </w:tabs>
              <w:spacing w:after="60" w:before="60" w:lineRule="auto"/>
              <w:ind w:left="565" w:right="14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244">
            <w:pPr>
              <w:numPr>
                <w:ilvl w:val="1"/>
                <w:numId w:val="12"/>
              </w:numPr>
              <w:pBdr>
                <w:top w:space="0" w:sz="0" w:val="nil"/>
                <w:left w:space="0" w:sz="0" w:val="nil"/>
                <w:bottom w:space="0" w:sz="0" w:val="nil"/>
                <w:right w:space="0" w:sz="0" w:val="nil"/>
                <w:between w:space="0" w:sz="0" w:val="nil"/>
              </w:pBdr>
              <w:tabs>
                <w:tab w:val="left" w:leader="none" w:pos="-576"/>
              </w:tabs>
              <w:spacing w:after="60" w:before="60" w:lineRule="auto"/>
              <w:ind w:left="565" w:right="144" w:hanging="39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is responsible for the management, direction or control of the provision of the Deliverables (or any part of them);</w:t>
            </w:r>
          </w:p>
        </w:tc>
      </w:tr>
      <w:tr>
        <w:trPr>
          <w:cantSplit w:val="0"/>
          <w:tblHeader w:val="0"/>
        </w:trPr>
        <w:tc>
          <w:tcPr>
            <w:shd w:fill="auto" w:val="clear"/>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“Subcontractor”</w:t>
            </w:r>
          </w:p>
        </w:tc>
        <w:tc>
          <w:tcPr>
            <w:shd w:fill="auto" w:val="clear"/>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person other than the Supplier, who is a party to a Sub-Contract and the servants or agents of that person;</w:t>
            </w:r>
          </w:p>
        </w:tc>
      </w:tr>
      <w:tr>
        <w:trPr>
          <w:cantSplit w:val="0"/>
          <w:tblHeader w:val="0"/>
        </w:trPr>
        <w:tc>
          <w:tcPr>
            <w:shd w:fill="auto" w:val="clear"/>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“Subprocessor”</w:t>
            </w:r>
          </w:p>
        </w:tc>
        <w:tc>
          <w:tcPr>
            <w:shd w:fill="auto" w:val="clear"/>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third Party appointed to process Personal Data on behalf of that Processor related to a Contract;</w:t>
            </w:r>
          </w:p>
        </w:tc>
      </w:tr>
      <w:tr>
        <w:trPr>
          <w:cantSplit w:val="0"/>
          <w:tblHeader w:val="0"/>
        </w:trPr>
        <w:tc>
          <w:tcPr>
            <w:shd w:fill="auto" w:val="clear"/>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sz w:val="22"/>
                <w:szCs w:val="22"/>
                <w:rtl w:val="0"/>
              </w:rPr>
              <w:t xml:space="preserve">“Super User”</w:t>
            </w:r>
            <w:r w:rsidDel="00000000" w:rsidR="00000000" w:rsidRPr="00000000">
              <w:rPr>
                <w:rtl w:val="0"/>
              </w:rPr>
            </w:r>
          </w:p>
        </w:tc>
        <w:tc>
          <w:tcPr>
            <w:shd w:fill="auto" w:val="clear"/>
          </w:tcPr>
          <w:p w:rsidR="00000000" w:rsidDel="00000000" w:rsidP="00000000" w:rsidRDefault="00000000" w:rsidRPr="00000000" w14:paraId="0000024A">
            <w:pP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user confirmed by the Buyer in writing with special privileges needed to administer and maintain the system in accordance with the Contract;</w:t>
            </w:r>
          </w:p>
        </w:tc>
      </w:tr>
      <w:tr>
        <w:trPr>
          <w:cantSplit w:val="0"/>
          <w:tblHeader w:val="0"/>
        </w:trPr>
        <w:tc>
          <w:tcPr>
            <w:shd w:fill="auto" w:val="clear"/>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w:t>
            </w:r>
          </w:p>
        </w:tc>
        <w:tc>
          <w:tcPr>
            <w:shd w:fill="auto" w:val="clear"/>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person, firm or company identified in the Framework Award Form;</w:t>
            </w:r>
          </w:p>
        </w:tc>
      </w:tr>
      <w:tr>
        <w:trPr>
          <w:cantSplit w:val="0"/>
          <w:tblHeader w:val="0"/>
        </w:trPr>
        <w:tc>
          <w:tcPr>
            <w:shd w:fill="auto" w:val="clear"/>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System”</w:t>
            </w:r>
          </w:p>
        </w:tc>
        <w:tc>
          <w:tcPr>
            <w:shd w:fill="auto" w:val="clear"/>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Assets”</w:t>
            </w:r>
          </w:p>
        </w:tc>
        <w:tc>
          <w:tcPr>
            <w:shd w:fill="auto" w:val="clear"/>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assets and rights used by the Supplier to provide the Deliverables in accordance with the Call-Off Contract but excluding the Buyer Assets;</w:t>
            </w:r>
          </w:p>
        </w:tc>
      </w:tr>
      <w:tr>
        <w:trPr>
          <w:cantSplit w:val="0"/>
          <w:tblHeader w:val="0"/>
        </w:trPr>
        <w:tc>
          <w:tcPr>
            <w:shd w:fill="auto" w:val="clear"/>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Authorised Representative”</w:t>
            </w:r>
          </w:p>
        </w:tc>
        <w:tc>
          <w:tcPr>
            <w:shd w:fill="auto" w:val="clear"/>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representative appointed by the Supplier named in the Framework Award Form, or later defined in a Call-Off Contract;</w:t>
            </w:r>
          </w:p>
        </w:tc>
      </w:tr>
      <w:tr>
        <w:trPr>
          <w:cantSplit w:val="0"/>
          <w:tblHeader w:val="0"/>
        </w:trPr>
        <w:tc>
          <w:tcPr>
            <w:shd w:fill="auto" w:val="clear"/>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“Supplier's Confidential Information“</w:t>
            </w:r>
          </w:p>
        </w:tc>
        <w:tc>
          <w:tcPr>
            <w:shd w:fill="auto" w:val="clear"/>
          </w:tcPr>
          <w:p w:rsidR="00000000" w:rsidDel="00000000" w:rsidP="00000000" w:rsidRDefault="00000000" w:rsidRPr="00000000" w14:paraId="00000254">
            <w:pPr>
              <w:numPr>
                <w:ilvl w:val="1"/>
                <w:numId w:val="15"/>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5">
            <w:pPr>
              <w:numPr>
                <w:ilvl w:val="1"/>
                <w:numId w:val="15"/>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6">
            <w:pPr>
              <w:numPr>
                <w:ilvl w:val="1"/>
                <w:numId w:val="15"/>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information derived from any of (a) and (b) above;</w:t>
            </w:r>
          </w:p>
        </w:tc>
      </w:tr>
      <w:tr>
        <w:trPr>
          <w:cantSplit w:val="0"/>
          <w:tblHeader w:val="0"/>
        </w:trPr>
        <w:tc>
          <w:tcPr>
            <w:shd w:fill="auto" w:val="clear"/>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“Supplier's Contract Manager“</w:t>
            </w:r>
          </w:p>
        </w:tc>
        <w:tc>
          <w:tcPr>
            <w:shd w:fill="auto" w:val="clea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shd w:fill="auto" w:val="clear"/>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Equipment”</w:t>
            </w:r>
          </w:p>
        </w:tc>
        <w:tc>
          <w:tcPr>
            <w:shd w:fill="auto" w:val="clear"/>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shd w:fill="auto" w:val="clea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Marketing Contact”</w:t>
            </w:r>
          </w:p>
        </w:tc>
        <w:tc>
          <w:tcPr>
            <w:shd w:fill="auto" w:val="clea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shall be the person identified in the Framework Award Form;</w:t>
            </w:r>
          </w:p>
        </w:tc>
      </w:tr>
      <w:tr>
        <w:trPr>
          <w:cantSplit w:val="0"/>
          <w:tblHeader w:val="0"/>
        </w:trPr>
        <w:tc>
          <w:tcPr>
            <w:shd w:fill="auto" w:val="clear"/>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Non-Performance”</w:t>
            </w:r>
          </w:p>
        </w:tc>
        <w:tc>
          <w:tcPr>
            <w:shd w:fill="auto" w:val="clea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where the Supplier has failed to:</w:t>
            </w:r>
          </w:p>
          <w:p w:rsidR="00000000" w:rsidDel="00000000" w:rsidP="00000000" w:rsidRDefault="00000000" w:rsidRPr="00000000" w14:paraId="0000025F">
            <w:pPr>
              <w:numPr>
                <w:ilvl w:val="1"/>
                <w:numId w:val="3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Achieve a Milestone by its Milestone Date;</w:t>
            </w:r>
          </w:p>
          <w:p w:rsidR="00000000" w:rsidDel="00000000" w:rsidP="00000000" w:rsidRDefault="00000000" w:rsidRPr="00000000" w14:paraId="00000260">
            <w:pPr>
              <w:numPr>
                <w:ilvl w:val="1"/>
                <w:numId w:val="3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provide the Goods and/or Services in accordance with the Service Levels; and/or</w:t>
            </w:r>
          </w:p>
          <w:p w:rsidR="00000000" w:rsidDel="00000000" w:rsidP="00000000" w:rsidRDefault="00000000" w:rsidRPr="00000000" w14:paraId="00000261">
            <w:pPr>
              <w:numPr>
                <w:ilvl w:val="1"/>
                <w:numId w:val="38"/>
              </w:numPr>
              <w:pBdr>
                <w:top w:space="0" w:sz="0" w:val="nil"/>
                <w:left w:space="0" w:sz="0" w:val="nil"/>
                <w:bottom w:space="0" w:sz="0" w:val="nil"/>
                <w:right w:space="0" w:sz="0" w:val="nil"/>
                <w:between w:space="0" w:sz="0" w:val="nil"/>
              </w:pBdr>
              <w:tabs>
                <w:tab w:val="left" w:leader="none" w:pos="-576"/>
                <w:tab w:val="left" w:leader="none" w:pos="707"/>
              </w:tabs>
              <w:spacing w:after="60" w:before="60" w:lineRule="auto"/>
              <w:ind w:left="707" w:right="144" w:hanging="533"/>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comply with an obligation under a Contract;</w:t>
            </w:r>
          </w:p>
        </w:tc>
      </w:tr>
      <w:tr>
        <w:trPr>
          <w:cantSplit w:val="0"/>
          <w:tblHeader w:val="0"/>
        </w:trPr>
        <w:tc>
          <w:tcPr>
            <w:shd w:fill="auto" w:val="clea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Profit”</w:t>
            </w:r>
          </w:p>
        </w:tc>
        <w:tc>
          <w:tcPr>
            <w:shd w:fill="auto" w:val="clear"/>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shd w:fill="auto" w:val="clea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Profit Margin”</w:t>
            </w:r>
          </w:p>
        </w:tc>
        <w:tc>
          <w:tcPr>
            <w:shd w:fill="auto" w:val="clear"/>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shd w:fill="auto" w:val="clea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“Supplier Staff”</w:t>
            </w:r>
          </w:p>
        </w:tc>
        <w:tc>
          <w:tcPr>
            <w:shd w:fill="auto" w:val="clear"/>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“Supporting Documentation”</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60" w:before="60" w:lineRule="auto"/>
              <w:ind w:left="17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shd w:fill="auto" w:val="clear"/>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“Tax”</w:t>
            </w:r>
          </w:p>
        </w:tc>
        <w:tc>
          <w:tcPr>
            <w:shd w:fill="auto" w:val="clear"/>
          </w:tcPr>
          <w:p w:rsidR="00000000" w:rsidDel="00000000" w:rsidP="00000000" w:rsidRDefault="00000000" w:rsidRPr="00000000" w14:paraId="0000026B">
            <w:pPr>
              <w:numPr>
                <w:ilvl w:val="0"/>
                <w:numId w:val="36"/>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forms of taxation whether direct or indirect;</w:t>
            </w:r>
          </w:p>
          <w:p w:rsidR="00000000" w:rsidDel="00000000" w:rsidP="00000000" w:rsidRDefault="00000000" w:rsidRPr="00000000" w14:paraId="0000026C">
            <w:pPr>
              <w:numPr>
                <w:ilvl w:val="0"/>
                <w:numId w:val="36"/>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National Insurance contributions in the United Kingdom and similar contributions or obligations in any other jurisdiction;</w:t>
            </w:r>
          </w:p>
          <w:p w:rsidR="00000000" w:rsidDel="00000000" w:rsidP="00000000" w:rsidRDefault="00000000" w:rsidRPr="00000000" w14:paraId="0000026D">
            <w:pPr>
              <w:numPr>
                <w:ilvl w:val="0"/>
                <w:numId w:val="36"/>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E">
            <w:pPr>
              <w:numPr>
                <w:ilvl w:val="0"/>
                <w:numId w:val="36"/>
              </w:numPr>
              <w:pBdr>
                <w:top w:space="0" w:sz="0" w:val="nil"/>
                <w:left w:space="0" w:sz="0" w:val="nil"/>
                <w:bottom w:space="0" w:sz="0" w:val="nil"/>
                <w:right w:space="0" w:sz="0" w:val="nil"/>
                <w:between w:space="0" w:sz="0" w:val="nil"/>
              </w:pBdr>
              <w:spacing w:after="60" w:before="60" w:lineRule="auto"/>
              <w:ind w:left="565" w:right="144" w:hanging="425"/>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penalty, fine, surcharge, interest, charges or costs relating to any of the above,</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60" w:before="60" w:lineRule="auto"/>
              <w:ind w:left="140" w:right="144"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each case wherever chargeable and whether of the United Kingdom and any other jurisdiction;</w:t>
            </w:r>
          </w:p>
        </w:tc>
      </w:tr>
      <w:tr>
        <w:trPr>
          <w:cantSplit w:val="0"/>
          <w:tblHeader w:val="0"/>
        </w:trPr>
        <w:tc>
          <w:tcPr>
            <w:shd w:fill="auto" w:val="clear"/>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“Termination Notice”</w:t>
            </w:r>
          </w:p>
        </w:tc>
        <w:tc>
          <w:tcPr>
            <w:shd w:fill="auto" w:val="clear"/>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shd w:fill="auto" w:val="clear"/>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“Test Issue”</w:t>
            </w:r>
          </w:p>
        </w:tc>
        <w:tc>
          <w:tcPr>
            <w:shd w:fill="auto" w:val="clear"/>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variance or non-conformity of the Deliverables from their requirements as set out in a Call-Off Contract;</w:t>
            </w:r>
          </w:p>
        </w:tc>
      </w:tr>
      <w:tr>
        <w:trPr>
          <w:cantSplit w:val="0"/>
          <w:tblHeader w:val="0"/>
        </w:trPr>
        <w:tc>
          <w:tcPr>
            <w:shd w:fill="auto" w:val="clear"/>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“Test Plan”</w:t>
            </w:r>
          </w:p>
        </w:tc>
        <w:tc>
          <w:tcPr>
            <w:shd w:fill="auto" w:val="clear"/>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plan:</w:t>
            </w:r>
          </w:p>
          <w:p w:rsidR="00000000" w:rsidDel="00000000" w:rsidP="00000000" w:rsidRDefault="00000000" w:rsidRPr="00000000" w14:paraId="000002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60" w:line="276" w:lineRule="auto"/>
              <w:ind w:left="707" w:right="142"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Testing of the Deliverables; and</w:t>
            </w:r>
          </w:p>
          <w:p w:rsidR="00000000" w:rsidDel="00000000" w:rsidP="00000000" w:rsidRDefault="00000000" w:rsidRPr="00000000" w14:paraId="0000027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60" w:line="276" w:lineRule="auto"/>
              <w:ind w:left="707" w:right="142" w:hanging="56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setting out other agreed criteria related to the Achievement of Milestones;</w:t>
            </w:r>
          </w:p>
        </w:tc>
      </w:tr>
      <w:tr>
        <w:trPr>
          <w:cantSplit w:val="0"/>
          <w:tblHeader w:val="0"/>
        </w:trPr>
        <w:tc>
          <w:tcPr>
            <w:shd w:fill="auto" w:val="clear"/>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“Tests”</w:t>
            </w:r>
          </w:p>
        </w:tc>
        <w:tc>
          <w:tcPr>
            <w:shd w:fill="auto" w:val="clear"/>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2"/>
                <w:szCs w:val="22"/>
                <w:rtl w:val="0"/>
              </w:rPr>
              <w:t xml:space="preserve">Tested</w:t>
            </w:r>
            <w:r w:rsidDel="00000000" w:rsidR="00000000" w:rsidRPr="00000000">
              <w:rPr>
                <w:rFonts w:ascii="Arial" w:cs="Arial" w:eastAsia="Arial" w:hAnsi="Arial"/>
                <w:color w:val="000000"/>
                <w:sz w:val="22"/>
                <w:szCs w:val="22"/>
                <w:rtl w:val="0"/>
              </w:rPr>
              <w:t xml:space="preserve">” and “</w:t>
            </w:r>
            <w:r w:rsidDel="00000000" w:rsidR="00000000" w:rsidRPr="00000000">
              <w:rPr>
                <w:rFonts w:ascii="Arial" w:cs="Arial" w:eastAsia="Arial" w:hAnsi="Arial"/>
                <w:b w:val="1"/>
                <w:color w:val="000000"/>
                <w:sz w:val="22"/>
                <w:szCs w:val="22"/>
                <w:rtl w:val="0"/>
              </w:rPr>
              <w:t xml:space="preserve">Testing</w:t>
            </w:r>
            <w:r w:rsidDel="00000000" w:rsidR="00000000" w:rsidRPr="00000000">
              <w:rPr>
                <w:rFonts w:ascii="Arial" w:cs="Arial" w:eastAsia="Arial" w:hAnsi="Arial"/>
                <w:color w:val="000000"/>
                <w:sz w:val="22"/>
                <w:szCs w:val="22"/>
                <w:rtl w:val="0"/>
              </w:rPr>
              <w:t xml:space="preserve">” shall be construed accordingly;</w:t>
            </w:r>
          </w:p>
        </w:tc>
      </w:tr>
      <w:tr>
        <w:trPr>
          <w:cantSplit w:val="0"/>
          <w:tblHeader w:val="0"/>
        </w:trPr>
        <w:tc>
          <w:tcPr>
            <w:shd w:fill="auto" w:val="clear"/>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“Third Party IPR”</w:t>
            </w:r>
          </w:p>
        </w:tc>
        <w:tc>
          <w:tcPr>
            <w:shd w:fill="auto" w:val="clear"/>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Intellectual Property Rights owned by a third party which is or will be used by the Supplier for the purpose of providing the Deliverables;</w:t>
            </w:r>
          </w:p>
        </w:tc>
      </w:tr>
      <w:tr>
        <w:trPr>
          <w:cantSplit w:val="0"/>
          <w:tblHeader w:val="0"/>
        </w:trPr>
        <w:tc>
          <w:tcPr>
            <w:shd w:fill="auto" w:val="clear"/>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“Transferring Supplier Employees”</w:t>
            </w:r>
          </w:p>
        </w:tc>
        <w:tc>
          <w:tcPr>
            <w:shd w:fill="auto" w:val="clear"/>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those employees of the Supplier and/or the Supplier’s Subcontractors to whom the Employment Regulations will apply on the Service Transfer Date;</w:t>
            </w:r>
          </w:p>
        </w:tc>
      </w:tr>
      <w:tr>
        <w:trPr>
          <w:cantSplit w:val="0"/>
          <w:tblHeader w:val="0"/>
        </w:trPr>
        <w:tc>
          <w:tcPr>
            <w:shd w:fill="auto" w:val="clear"/>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“Transparency Information”</w:t>
            </w:r>
          </w:p>
        </w:tc>
        <w:tc>
          <w:tcPr>
            <w:shd w:fill="auto" w:val="clear"/>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Transparency Reports and the content of a Contract, including any changes to this Contract agreed from time to time, except for:</w:t>
            </w:r>
          </w:p>
          <w:p w:rsidR="00000000" w:rsidDel="00000000" w:rsidP="00000000" w:rsidRDefault="00000000" w:rsidRPr="00000000" w14:paraId="0000028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60" w:before="60" w:line="276" w:lineRule="auto"/>
              <w:ind w:left="890" w:right="142" w:hanging="60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60" w:before="60" w:line="276" w:lineRule="auto"/>
              <w:ind w:left="890" w:right="142" w:hanging="608"/>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Commercially Sensitive Information;</w:t>
            </w:r>
          </w:p>
        </w:tc>
      </w:tr>
      <w:tr>
        <w:trPr>
          <w:cantSplit w:val="0"/>
          <w:tblHeader w:val="0"/>
        </w:trPr>
        <w:tc>
          <w:tcPr>
            <w:shd w:fill="auto" w:val="clea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“Transparency Reports”</w:t>
            </w:r>
          </w:p>
        </w:tc>
        <w:tc>
          <w:tcPr>
            <w:shd w:fill="auto" w:val="clear"/>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“Traveller”</w:t>
            </w:r>
          </w:p>
        </w:tc>
        <w:tc>
          <w:tcPr>
            <w:shd w:fill="auto" w:val="clear"/>
          </w:tcPr>
          <w:p w:rsidR="00000000" w:rsidDel="00000000" w:rsidP="00000000" w:rsidRDefault="00000000" w:rsidRPr="00000000" w14:paraId="00000285">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tabs>
                <w:tab w:val="left" w:leader="none" w:pos="851"/>
              </w:tabs>
              <w:spacing w:after="60" w:before="60" w:line="240" w:lineRule="auto"/>
              <w:ind w:left="720" w:right="0" w:hanging="68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 employee, agent or representative of the Buyer; and/or</w:t>
            </w:r>
          </w:p>
          <w:p w:rsidR="00000000" w:rsidDel="00000000" w:rsidP="00000000" w:rsidRDefault="00000000" w:rsidRPr="00000000" w14:paraId="00000286">
            <w:pPr>
              <w:numPr>
                <w:ilvl w:val="0"/>
                <w:numId w:val="30"/>
              </w:numPr>
              <w:pBdr>
                <w:top w:space="0" w:sz="0" w:val="nil"/>
                <w:left w:space="0" w:sz="0" w:val="nil"/>
                <w:bottom w:space="0" w:sz="0" w:val="nil"/>
                <w:right w:space="0" w:sz="0" w:val="nil"/>
                <w:between w:space="0" w:sz="0" w:val="nil"/>
              </w:pBdr>
              <w:spacing w:after="60" w:before="60" w:lineRule="auto"/>
              <w:ind w:left="720" w:hanging="685"/>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pre-authorised guest (including members of the public and dependants),</w:t>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who is or will be, named on the booking as the person travelling and/or using the Services;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rPr>
            </w:pPr>
            <w:r w:rsidDel="00000000" w:rsidR="00000000" w:rsidRPr="00000000">
              <w:rPr>
                <w:rFonts w:ascii="Arial" w:cs="Arial" w:eastAsia="Arial" w:hAnsi="Arial"/>
                <w:b w:val="1"/>
                <w:color w:val="000000"/>
                <w:rtl w:val="0"/>
              </w:rPr>
              <w:t xml:space="preserve">“UK GDPR”</w:t>
            </w:r>
          </w:p>
        </w:tc>
        <w:tc>
          <w:tcPr>
            <w:shd w:fill="auto" w:val="clear"/>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color w:val="000000"/>
                <w:sz w:val="22"/>
                <w:szCs w:val="22"/>
              </w:rPr>
            </w:pPr>
            <w:r w:rsidDel="00000000" w:rsidR="00000000" w:rsidRPr="00000000">
              <w:rPr>
                <w:rFonts w:ascii="Arial" w:cs="Arial" w:eastAsia="Arial" w:hAnsi="Arial"/>
                <w:color w:val="000000"/>
                <w:sz w:val="22"/>
                <w:szCs w:val="22"/>
                <w:rtl w:val="0"/>
              </w:rPr>
              <w:t xml:space="preserve">the retained EU law version of the General Data Protection Regulation (Regulation (EU) 2016/679);</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“Variation”</w:t>
            </w:r>
          </w:p>
        </w:tc>
        <w:tc>
          <w:tcPr>
            <w:shd w:fill="auto" w:val="clear"/>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change to a Contract;</w:t>
            </w:r>
          </w:p>
        </w:tc>
      </w:tr>
      <w:tr>
        <w:trPr>
          <w:cantSplit w:val="0"/>
          <w:tblHeader w:val="0"/>
        </w:trPr>
        <w:tc>
          <w:tcPr>
            <w:shd w:fill="auto" w:val="clear"/>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“Variation Form”</w:t>
            </w:r>
          </w:p>
        </w:tc>
        <w:tc>
          <w:tcPr>
            <w:shd w:fill="auto" w:val="clear"/>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form set out in Joint Schedule 2 (Variation Form);</w:t>
            </w:r>
          </w:p>
        </w:tc>
      </w:tr>
      <w:tr>
        <w:trPr>
          <w:cantSplit w:val="0"/>
          <w:tblHeader w:val="0"/>
        </w:trPr>
        <w:tc>
          <w:tcPr>
            <w:shd w:fill="auto" w:val="clear"/>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“Variation Procedure”</w:t>
            </w:r>
          </w:p>
        </w:tc>
        <w:tc>
          <w:tcPr>
            <w:shd w:fill="auto" w:val="clear"/>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procedure set out in Clause 24 (Changing the contract);</w:t>
            </w:r>
          </w:p>
        </w:tc>
      </w:tr>
      <w:tr>
        <w:trPr>
          <w:cantSplit w:val="0"/>
          <w:tblHeader w:val="0"/>
        </w:trPr>
        <w:tc>
          <w:tcPr>
            <w:shd w:fill="auto" w:val="clear"/>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“VAT”</w:t>
            </w:r>
          </w:p>
        </w:tc>
        <w:tc>
          <w:tcPr>
            <w:shd w:fill="auto" w:val="clear"/>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value added tax in accordance with the provisions of the Value Added Tax Act 1994;</w:t>
            </w:r>
          </w:p>
        </w:tc>
      </w:tr>
      <w:tr>
        <w:trPr>
          <w:cantSplit w:val="0"/>
          <w:tblHeader w:val="0"/>
        </w:trPr>
        <w:tc>
          <w:tcPr>
            <w:shd w:fill="auto" w:val="clear"/>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“VCSE”</w:t>
            </w:r>
          </w:p>
        </w:tc>
        <w:tc>
          <w:tcPr>
            <w:shd w:fill="auto" w:val="clear"/>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non-governmental organisation that is value-driven and which principally reinvests its surpluses to further social, environmental or cultural objectives;</w:t>
            </w:r>
          </w:p>
        </w:tc>
      </w:tr>
      <w:tr>
        <w:trPr>
          <w:cantSplit w:val="0"/>
          <w:tblHeader w:val="0"/>
        </w:trPr>
        <w:tc>
          <w:tcPr>
            <w:shd w:fill="auto" w:val="clear"/>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sz w:val="22"/>
                <w:szCs w:val="22"/>
                <w:rtl w:val="0"/>
              </w:rPr>
              <w:t xml:space="preserve">“Venue”</w:t>
            </w:r>
            <w:r w:rsidDel="00000000" w:rsidR="00000000" w:rsidRPr="00000000">
              <w:rPr>
                <w:rtl w:val="0"/>
              </w:rPr>
            </w:r>
          </w:p>
        </w:tc>
        <w:tc>
          <w:tcPr>
            <w:shd w:fill="auto" w:val="clear"/>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physical space which may be contracted for meetings, events, and/or accommodation. This may include but is not limited to:</w:t>
            </w:r>
          </w:p>
          <w:p w:rsidR="00000000" w:rsidDel="00000000" w:rsidP="00000000" w:rsidRDefault="00000000" w:rsidRPr="00000000" w14:paraId="00000296">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6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vessel</w:t>
            </w:r>
            <w:r w:rsidDel="00000000" w:rsidR="00000000" w:rsidRPr="00000000">
              <w:rPr>
                <w:rFonts w:ascii="Arial" w:cs="Arial" w:eastAsia="Arial" w:hAnsi="Arial"/>
                <w:sz w:val="22"/>
                <w:szCs w:val="22"/>
                <w:rtl w:val="0"/>
              </w:rPr>
              <w:t xml:space="preserve"> for accommodation purposes (Berthed or Anchored) (Chartered or Purchased)</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97">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hotel </w:t>
            </w:r>
            <w:r w:rsidDel="00000000" w:rsidR="00000000" w:rsidRPr="00000000">
              <w:rPr>
                <w:rFonts w:ascii="Arial" w:cs="Arial" w:eastAsia="Arial" w:hAnsi="Arial"/>
                <w:sz w:val="22"/>
                <w:szCs w:val="22"/>
                <w:rtl w:val="0"/>
              </w:rPr>
              <w:t xml:space="preserve">(including for exclusive use)</w:t>
            </w:r>
            <w:r w:rsidDel="00000000" w:rsidR="00000000" w:rsidRPr="00000000">
              <w:rPr>
                <w:rtl w:val="0"/>
              </w:rPr>
            </w:r>
          </w:p>
          <w:p w:rsidR="00000000" w:rsidDel="00000000" w:rsidP="00000000" w:rsidRDefault="00000000" w:rsidRPr="00000000" w14:paraId="00000298">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holiday/caravan/camping park, resort or site</w:t>
            </w:r>
          </w:p>
          <w:p w:rsidR="00000000" w:rsidDel="00000000" w:rsidP="00000000" w:rsidRDefault="00000000" w:rsidRPr="00000000" w14:paraId="00000299">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commercial housing and apartments</w:t>
            </w:r>
          </w:p>
          <w:p w:rsidR="00000000" w:rsidDel="00000000" w:rsidP="00000000" w:rsidRDefault="00000000" w:rsidRPr="00000000" w14:paraId="0000029A">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serviced apartments</w:t>
            </w:r>
          </w:p>
          <w:p w:rsidR="00000000" w:rsidDel="00000000" w:rsidP="00000000" w:rsidRDefault="00000000" w:rsidRPr="00000000" w14:paraId="0000029B">
            <w:pPr>
              <w:numPr>
                <w:ilvl w:val="0"/>
                <w:numId w:val="4"/>
              </w:numPr>
              <w:pBdr>
                <w:top w:space="0" w:sz="0" w:val="nil"/>
                <w:left w:space="0" w:sz="0" w:val="nil"/>
                <w:bottom w:space="0" w:sz="0" w:val="nil"/>
                <w:right w:space="0" w:sz="0" w:val="nil"/>
                <w:between w:space="0" w:sz="0" w:val="nil"/>
              </w:pBdr>
              <w:tabs>
                <w:tab w:val="left" w:leader="none" w:pos="170"/>
              </w:tabs>
              <w:spacing w:after="0" w:afterAutospacing="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student accommodation</w:t>
            </w:r>
          </w:p>
          <w:p w:rsidR="00000000" w:rsidDel="00000000" w:rsidP="00000000" w:rsidRDefault="00000000" w:rsidRPr="00000000" w14:paraId="0000029C">
            <w:pPr>
              <w:numPr>
                <w:ilvl w:val="0"/>
                <w:numId w:val="4"/>
              </w:numPr>
              <w:pBdr>
                <w:top w:space="0" w:sz="0" w:val="nil"/>
                <w:left w:space="0" w:sz="0" w:val="nil"/>
                <w:bottom w:space="0" w:sz="0" w:val="nil"/>
                <w:right w:space="0" w:sz="0" w:val="nil"/>
                <w:between w:space="0" w:sz="0" w:val="nil"/>
              </w:pBdr>
              <w:tabs>
                <w:tab w:val="left" w:leader="none" w:pos="170"/>
              </w:tabs>
              <w:spacing w:after="60" w:before="0" w:beforeAutospacing="0" w:lineRule="auto"/>
              <w:ind w:left="720" w:right="142"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Any other Venue for Group Accommodation, including </w:t>
            </w:r>
            <w:r w:rsidDel="00000000" w:rsidR="00000000" w:rsidRPr="00000000">
              <w:rPr>
                <w:rFonts w:ascii="Arial" w:cs="Arial" w:eastAsia="Arial" w:hAnsi="Arial"/>
                <w:sz w:val="22"/>
                <w:szCs w:val="22"/>
                <w:rtl w:val="0"/>
              </w:rPr>
              <w:t xml:space="preserve">hostels and shelters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“Worker”</w:t>
            </w:r>
          </w:p>
        </w:tc>
        <w:tc>
          <w:tcPr>
            <w:shd w:fill="auto" w:val="clea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shd w:fill="auto" w:val="clea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“Working Day”</w:t>
            </w:r>
          </w:p>
        </w:tc>
        <w:tc>
          <w:tcPr>
            <w:shd w:fill="auto" w:val="clear"/>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day other than a Saturday or Sunday or public holiday in England and Wales unless specified otherwise by the Parties in the Order Form;</w:t>
            </w:r>
          </w:p>
        </w:tc>
      </w:tr>
      <w:tr>
        <w:trPr>
          <w:cantSplit w:val="0"/>
          <w:tblHeader w:val="0"/>
        </w:trPr>
        <w:tc>
          <w:tcPr>
            <w:shd w:fill="auto" w:val="clea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“Work Day”</w:t>
            </w:r>
          </w:p>
        </w:tc>
        <w:tc>
          <w:tcPr>
            <w:shd w:fill="auto" w:val="clear"/>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7.5 Work Hours, whether or not such hours are worked consecutively and whether or not they are worked on the same day; and</w:t>
            </w:r>
          </w:p>
        </w:tc>
      </w:tr>
      <w:tr>
        <w:trPr>
          <w:cantSplit w:val="0"/>
          <w:tblHeader w:val="0"/>
        </w:trPr>
        <w:tc>
          <w:tcPr>
            <w:shd w:fill="auto" w:val="clea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60" w:before="60" w:lineRule="auto"/>
              <w:ind w:left="142" w:right="278" w:firstLine="0"/>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“Work Hours”</w:t>
            </w:r>
          </w:p>
        </w:tc>
        <w:tc>
          <w:tcPr>
            <w:shd w:fill="auto" w:val="clea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0"/>
              </w:tabs>
              <w:spacing w:after="60" w:before="60" w:lineRule="auto"/>
              <w:ind w:left="170" w:right="142"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5">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00"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00"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abcdDefinition" w:customStyle="1">
    <w:name w:val="(a) (b) (c) (d) Definition"/>
    <w:basedOn w:val="Normal"/>
    <w:rsid w:val="00775672"/>
    <w:pPr>
      <w:numPr>
        <w:numId w:val="44"/>
      </w:numPr>
      <w:tabs>
        <w:tab w:val="left" w:pos="851"/>
      </w:tabs>
      <w:spacing w:after="240" w:line="240" w:lineRule="auto"/>
    </w:pPr>
    <w:rPr>
      <w:rFonts w:ascii="Arial" w:cs="Arial" w:eastAsia="Arial" w:hAnsi="Arial"/>
      <w:sz w:val="24"/>
      <w:szCs w:val="24"/>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rIoYx8sfLNvHqsqNh1g0Z761w==">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2024-01-03T10:35:00Z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